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E1456" w14:textId="77C36B84" w:rsidR="00C01736" w:rsidRPr="00AA5BDA" w:rsidRDefault="00F851F9" w:rsidP="00AA5BDA">
      <w:pPr>
        <w:pStyle w:val="Style1"/>
        <w:jc w:val="center"/>
        <w:rPr>
          <w:b/>
          <w:bCs/>
          <w:sz w:val="24"/>
          <w:szCs w:val="24"/>
          <w:u w:val="single"/>
        </w:rPr>
      </w:pPr>
      <w:r w:rsidRPr="00AA5BDA">
        <w:rPr>
          <w:b/>
          <w:bCs/>
          <w:sz w:val="24"/>
          <w:szCs w:val="24"/>
          <w:u w:val="single"/>
        </w:rPr>
        <w:t xml:space="preserve">Without Prejudice Subject to Contract                        </w:t>
      </w:r>
      <w:r w:rsidR="00C01736" w:rsidRPr="00AA5BDA">
        <w:rPr>
          <w:b/>
          <w:bCs/>
          <w:sz w:val="24"/>
          <w:szCs w:val="24"/>
          <w:u w:val="single"/>
        </w:rPr>
        <w:t>COT3</w:t>
      </w:r>
    </w:p>
    <w:p w14:paraId="1DDEFB64" w14:textId="77777777" w:rsidR="00C01736" w:rsidRPr="00AA5BDA" w:rsidRDefault="00C01736" w:rsidP="000B0448">
      <w:pPr>
        <w:pStyle w:val="Style1"/>
        <w:rPr>
          <w:sz w:val="24"/>
          <w:szCs w:val="24"/>
        </w:rPr>
      </w:pPr>
    </w:p>
    <w:p w14:paraId="0E5EDE22" w14:textId="328AC017" w:rsidR="00C01736" w:rsidRPr="00AA5BDA" w:rsidRDefault="00F851F9" w:rsidP="00AA5BDA">
      <w:pPr>
        <w:pStyle w:val="Style1"/>
        <w:jc w:val="both"/>
        <w:rPr>
          <w:sz w:val="24"/>
          <w:szCs w:val="24"/>
        </w:rPr>
      </w:pPr>
      <w:r w:rsidRPr="00AA5BDA">
        <w:rPr>
          <w:b/>
          <w:bCs/>
          <w:sz w:val="24"/>
          <w:szCs w:val="24"/>
        </w:rPr>
        <w:t xml:space="preserve">Name of </w:t>
      </w:r>
      <w:r w:rsidR="00E946AC" w:rsidRPr="00ED19C6">
        <w:rPr>
          <w:b/>
          <w:bCs/>
          <w:sz w:val="24"/>
          <w:szCs w:val="24"/>
        </w:rPr>
        <w:t>Employee</w:t>
      </w:r>
      <w:r w:rsidRPr="00ED19C6">
        <w:rPr>
          <w:b/>
          <w:bCs/>
          <w:sz w:val="24"/>
          <w:szCs w:val="24"/>
        </w:rPr>
        <w:t xml:space="preserve"> </w:t>
      </w:r>
      <w:r w:rsidR="00907275" w:rsidRPr="00A121F3">
        <w:rPr>
          <w:b/>
          <w:bCs/>
          <w:sz w:val="24"/>
          <w:szCs w:val="24"/>
          <w:highlight w:val="yellow"/>
        </w:rPr>
        <w:t>[</w:t>
      </w:r>
      <w:r w:rsidRPr="00A121F3">
        <w:rPr>
          <w:b/>
          <w:bCs/>
          <w:sz w:val="24"/>
          <w:szCs w:val="24"/>
          <w:highlight w:val="yellow"/>
        </w:rPr>
        <w:t>to be inserted</w:t>
      </w:r>
      <w:r w:rsidR="003B7711" w:rsidRPr="00A121F3">
        <w:rPr>
          <w:b/>
          <w:bCs/>
          <w:sz w:val="24"/>
          <w:szCs w:val="24"/>
          <w:highlight w:val="yellow"/>
        </w:rPr>
        <w:t>]</w:t>
      </w:r>
      <w:r w:rsidR="003B7711" w:rsidRPr="00ED19C6">
        <w:rPr>
          <w:b/>
          <w:bCs/>
          <w:sz w:val="24"/>
          <w:szCs w:val="24"/>
        </w:rPr>
        <w:t xml:space="preserve"> </w:t>
      </w:r>
      <w:r w:rsidR="003B7711" w:rsidRPr="00ED19C6">
        <w:rPr>
          <w:sz w:val="24"/>
          <w:szCs w:val="24"/>
        </w:rPr>
        <w:t>who holds the following job role</w:t>
      </w:r>
      <w:r w:rsidR="00613AA0">
        <w:rPr>
          <w:sz w:val="24"/>
          <w:szCs w:val="24"/>
        </w:rPr>
        <w:t>/s</w:t>
      </w:r>
      <w:r w:rsidR="003B7711" w:rsidRPr="00ED19C6">
        <w:rPr>
          <w:b/>
          <w:bCs/>
          <w:sz w:val="24"/>
          <w:szCs w:val="24"/>
        </w:rPr>
        <w:t xml:space="preserve"> </w:t>
      </w:r>
      <w:r w:rsidR="003B7711" w:rsidRPr="00A121F3">
        <w:rPr>
          <w:b/>
          <w:bCs/>
          <w:sz w:val="24"/>
          <w:szCs w:val="24"/>
          <w:highlight w:val="yellow"/>
        </w:rPr>
        <w:t>[insert job title</w:t>
      </w:r>
      <w:r w:rsidR="00613AA0">
        <w:rPr>
          <w:b/>
          <w:bCs/>
          <w:sz w:val="24"/>
          <w:szCs w:val="24"/>
          <w:highlight w:val="yellow"/>
        </w:rPr>
        <w:t>/s</w:t>
      </w:r>
      <w:r w:rsidR="00907275" w:rsidRPr="00A121F3">
        <w:rPr>
          <w:b/>
          <w:bCs/>
          <w:sz w:val="24"/>
          <w:szCs w:val="24"/>
          <w:highlight w:val="yellow"/>
        </w:rPr>
        <w:t>]</w:t>
      </w:r>
      <w:r w:rsidRPr="00AA5BDA">
        <w:rPr>
          <w:sz w:val="24"/>
          <w:szCs w:val="24"/>
        </w:rPr>
        <w:t xml:space="preserve"> referred to as Employee throughout this </w:t>
      </w:r>
      <w:r w:rsidR="00907275" w:rsidRPr="00AA5BDA">
        <w:rPr>
          <w:sz w:val="24"/>
          <w:szCs w:val="24"/>
        </w:rPr>
        <w:t>A</w:t>
      </w:r>
      <w:r w:rsidRPr="00AA5BDA">
        <w:rPr>
          <w:sz w:val="24"/>
          <w:szCs w:val="24"/>
        </w:rPr>
        <w:t xml:space="preserve">greement and the London Borough of Waltham Forest (the Employer), together the Parties, have entered into this Agreement through the conciliation of the Advisory Conciliation and Arbitration Service (ACAS), in accordance with sections 18, 19 and 19A of the Employment Tribunals Act 1996 and have agreed as follows: </w:t>
      </w:r>
    </w:p>
    <w:p w14:paraId="4F5B3EFC" w14:textId="77777777" w:rsidR="00C01736" w:rsidRPr="00AA5BDA" w:rsidRDefault="00C01736" w:rsidP="00AA5BDA">
      <w:pPr>
        <w:pStyle w:val="Style1"/>
        <w:jc w:val="both"/>
        <w:rPr>
          <w:sz w:val="24"/>
          <w:szCs w:val="24"/>
        </w:rPr>
      </w:pPr>
    </w:p>
    <w:p w14:paraId="5E5D6F14" w14:textId="22684324" w:rsidR="00E27923" w:rsidRPr="00AA5BDA" w:rsidRDefault="00F851F9" w:rsidP="00A121F3">
      <w:pPr>
        <w:pStyle w:val="Style1"/>
        <w:numPr>
          <w:ilvl w:val="0"/>
          <w:numId w:val="12"/>
        </w:numPr>
        <w:ind w:left="426" w:hanging="426"/>
        <w:jc w:val="both"/>
        <w:rPr>
          <w:sz w:val="24"/>
          <w:szCs w:val="24"/>
        </w:rPr>
      </w:pPr>
      <w:r w:rsidRPr="00AA5BDA">
        <w:rPr>
          <w:sz w:val="24"/>
          <w:szCs w:val="24"/>
        </w:rPr>
        <w:t>It is the Parties express intention by this COT3 to settle any claims</w:t>
      </w:r>
      <w:r w:rsidR="00D37C33" w:rsidRPr="00AA5BDA">
        <w:rPr>
          <w:sz w:val="24"/>
          <w:szCs w:val="24"/>
        </w:rPr>
        <w:t xml:space="preserve"> </w:t>
      </w:r>
      <w:r w:rsidRPr="00AA5BDA">
        <w:rPr>
          <w:sz w:val="24"/>
          <w:szCs w:val="24"/>
        </w:rPr>
        <w:t>wherever brought</w:t>
      </w:r>
      <w:r w:rsidR="003730B6" w:rsidRPr="00AA5BDA">
        <w:rPr>
          <w:sz w:val="24"/>
          <w:szCs w:val="24"/>
        </w:rPr>
        <w:t xml:space="preserve"> relating specifically to payment of holiday pay for the period from January </w:t>
      </w:r>
      <w:r w:rsidR="0026640E" w:rsidRPr="00AA5BDA">
        <w:rPr>
          <w:sz w:val="24"/>
          <w:szCs w:val="24"/>
        </w:rPr>
        <w:t xml:space="preserve">2016 </w:t>
      </w:r>
      <w:r w:rsidR="003730B6" w:rsidRPr="00AA5BDA">
        <w:rPr>
          <w:sz w:val="24"/>
          <w:szCs w:val="24"/>
        </w:rPr>
        <w:t xml:space="preserve">to </w:t>
      </w:r>
      <w:r w:rsidR="003C39E7" w:rsidRPr="00AA5BDA">
        <w:rPr>
          <w:sz w:val="24"/>
          <w:szCs w:val="24"/>
        </w:rPr>
        <w:t xml:space="preserve">March </w:t>
      </w:r>
      <w:r w:rsidR="003730B6" w:rsidRPr="00AA5BDA">
        <w:rPr>
          <w:sz w:val="24"/>
          <w:szCs w:val="24"/>
        </w:rPr>
        <w:t>2021</w:t>
      </w:r>
      <w:r w:rsidR="004800F1" w:rsidRPr="00AA5BDA">
        <w:rPr>
          <w:sz w:val="24"/>
          <w:szCs w:val="24"/>
        </w:rPr>
        <w:t>,</w:t>
      </w:r>
      <w:r w:rsidRPr="00AA5BDA">
        <w:rPr>
          <w:sz w:val="24"/>
          <w:szCs w:val="24"/>
        </w:rPr>
        <w:t xml:space="preserve"> arising in relation to the failure to calculate holiday pay in accordance with the terms of the Green Book during the Employee</w:t>
      </w:r>
      <w:r w:rsidR="004800F1" w:rsidRPr="00AA5BDA">
        <w:rPr>
          <w:sz w:val="24"/>
          <w:szCs w:val="24"/>
        </w:rPr>
        <w:t>’s</w:t>
      </w:r>
      <w:r w:rsidRPr="00AA5BDA">
        <w:rPr>
          <w:sz w:val="24"/>
          <w:szCs w:val="24"/>
        </w:rPr>
        <w:t xml:space="preserve"> employment</w:t>
      </w:r>
      <w:r w:rsidR="003730B6" w:rsidRPr="00AA5BDA">
        <w:rPr>
          <w:sz w:val="24"/>
          <w:szCs w:val="24"/>
        </w:rPr>
        <w:t xml:space="preserve">. </w:t>
      </w:r>
      <w:r w:rsidRPr="00AA5BDA">
        <w:rPr>
          <w:sz w:val="24"/>
          <w:szCs w:val="24"/>
        </w:rPr>
        <w:t xml:space="preserve">  </w:t>
      </w:r>
    </w:p>
    <w:p w14:paraId="769A78E7" w14:textId="77777777" w:rsidR="00F57B46" w:rsidRPr="00AA5BDA" w:rsidRDefault="00F57B46" w:rsidP="008F611C">
      <w:pPr>
        <w:pStyle w:val="Style1"/>
        <w:jc w:val="both"/>
        <w:rPr>
          <w:sz w:val="24"/>
          <w:szCs w:val="24"/>
        </w:rPr>
      </w:pPr>
    </w:p>
    <w:p w14:paraId="6B3F5544" w14:textId="27C8D343" w:rsidR="00C01736" w:rsidRPr="00AA5BDA" w:rsidRDefault="003730B6" w:rsidP="00A121F3">
      <w:pPr>
        <w:pStyle w:val="Style1"/>
        <w:numPr>
          <w:ilvl w:val="0"/>
          <w:numId w:val="12"/>
        </w:numPr>
        <w:ind w:left="426" w:hanging="426"/>
        <w:jc w:val="both"/>
        <w:rPr>
          <w:sz w:val="24"/>
          <w:szCs w:val="24"/>
        </w:rPr>
      </w:pPr>
      <w:r w:rsidRPr="00AA5BDA">
        <w:rPr>
          <w:sz w:val="24"/>
          <w:szCs w:val="24"/>
        </w:rPr>
        <w:t>T</w:t>
      </w:r>
      <w:r w:rsidR="00F851F9" w:rsidRPr="00AA5BDA">
        <w:rPr>
          <w:sz w:val="24"/>
          <w:szCs w:val="24"/>
        </w:rPr>
        <w:t xml:space="preserve">he terms of this COT3 are legally binding between them, having acted of their own free will and without duress. </w:t>
      </w:r>
    </w:p>
    <w:p w14:paraId="394DB810" w14:textId="15E76B4F" w:rsidR="00F851F9" w:rsidRPr="00AA5BDA" w:rsidRDefault="00F851F9" w:rsidP="00AA5BDA">
      <w:pPr>
        <w:pStyle w:val="Style1"/>
        <w:ind w:left="-567"/>
        <w:jc w:val="both"/>
        <w:rPr>
          <w:sz w:val="24"/>
          <w:szCs w:val="24"/>
        </w:rPr>
      </w:pPr>
    </w:p>
    <w:p w14:paraId="55023D9E" w14:textId="3778AE3F" w:rsidR="00DF0BB7" w:rsidRPr="00AA5BDA" w:rsidRDefault="00C01736" w:rsidP="00A121F3">
      <w:pPr>
        <w:pStyle w:val="Style1"/>
        <w:numPr>
          <w:ilvl w:val="0"/>
          <w:numId w:val="12"/>
        </w:numPr>
        <w:ind w:left="426" w:hanging="426"/>
        <w:jc w:val="both"/>
        <w:rPr>
          <w:sz w:val="24"/>
          <w:szCs w:val="24"/>
        </w:rPr>
      </w:pPr>
      <w:r w:rsidRPr="00AA5BDA">
        <w:rPr>
          <w:sz w:val="24"/>
          <w:szCs w:val="24"/>
        </w:rPr>
        <w:t xml:space="preserve">The Respondent shall, without admission of liability, pay to the </w:t>
      </w:r>
      <w:r w:rsidR="00FB1465" w:rsidRPr="00AA5BDA">
        <w:rPr>
          <w:sz w:val="24"/>
          <w:szCs w:val="24"/>
        </w:rPr>
        <w:t>Employee a settlement sum</w:t>
      </w:r>
      <w:r w:rsidR="00074ACB" w:rsidRPr="00AA5BDA">
        <w:rPr>
          <w:sz w:val="24"/>
          <w:szCs w:val="24"/>
        </w:rPr>
        <w:t xml:space="preserve"> which forms part of this Agreement.</w:t>
      </w:r>
      <w:r w:rsidR="00FB1465" w:rsidRPr="00AA5BDA">
        <w:rPr>
          <w:sz w:val="24"/>
          <w:szCs w:val="24"/>
        </w:rPr>
        <w:t xml:space="preserve"> Following nego</w:t>
      </w:r>
      <w:r w:rsidR="008161C1" w:rsidRPr="00AA5BDA">
        <w:rPr>
          <w:sz w:val="24"/>
          <w:szCs w:val="24"/>
        </w:rPr>
        <w:t>tia</w:t>
      </w:r>
      <w:r w:rsidR="00FB1465" w:rsidRPr="00AA5BDA">
        <w:rPr>
          <w:sz w:val="24"/>
          <w:szCs w:val="24"/>
        </w:rPr>
        <w:t xml:space="preserve">tions with the </w:t>
      </w:r>
      <w:proofErr w:type="spellStart"/>
      <w:r w:rsidR="00FB1465" w:rsidRPr="00AA5BDA">
        <w:rPr>
          <w:sz w:val="24"/>
          <w:szCs w:val="24"/>
        </w:rPr>
        <w:t>recognised</w:t>
      </w:r>
      <w:proofErr w:type="spellEnd"/>
      <w:r w:rsidR="00FB1465" w:rsidRPr="00AA5BDA">
        <w:rPr>
          <w:sz w:val="24"/>
          <w:szCs w:val="24"/>
        </w:rPr>
        <w:t xml:space="preserve"> Trade Unions</w:t>
      </w:r>
      <w:r w:rsidR="00CF6FAB" w:rsidRPr="00AA5BDA">
        <w:rPr>
          <w:sz w:val="24"/>
          <w:szCs w:val="24"/>
        </w:rPr>
        <w:t>,</w:t>
      </w:r>
      <w:r w:rsidR="00FB1465" w:rsidRPr="00AA5BDA">
        <w:rPr>
          <w:sz w:val="24"/>
          <w:szCs w:val="24"/>
        </w:rPr>
        <w:t xml:space="preserve"> </w:t>
      </w:r>
      <w:r w:rsidR="008161C1" w:rsidRPr="00AA5BDA">
        <w:rPr>
          <w:sz w:val="24"/>
          <w:szCs w:val="24"/>
        </w:rPr>
        <w:t xml:space="preserve">a </w:t>
      </w:r>
      <w:r w:rsidR="00B0312C" w:rsidRPr="00AA5BDA">
        <w:rPr>
          <w:sz w:val="24"/>
          <w:szCs w:val="24"/>
        </w:rPr>
        <w:t xml:space="preserve">Collective </w:t>
      </w:r>
      <w:r w:rsidR="008161C1" w:rsidRPr="00AA5BDA">
        <w:rPr>
          <w:sz w:val="24"/>
          <w:szCs w:val="24"/>
        </w:rPr>
        <w:t>Agreement</w:t>
      </w:r>
      <w:r w:rsidR="00FB1465" w:rsidRPr="00AA5BDA">
        <w:rPr>
          <w:sz w:val="24"/>
          <w:szCs w:val="24"/>
        </w:rPr>
        <w:t xml:space="preserve"> has been reached that Employees that have worked for the Employe</w:t>
      </w:r>
      <w:r w:rsidR="008161C1" w:rsidRPr="00AA5BDA">
        <w:rPr>
          <w:sz w:val="24"/>
          <w:szCs w:val="24"/>
        </w:rPr>
        <w:t>r will receive a maximum payment of compensation of 5 years and 3 months</w:t>
      </w:r>
      <w:r w:rsidR="004800F1" w:rsidRPr="00AA5BDA">
        <w:rPr>
          <w:sz w:val="24"/>
          <w:szCs w:val="24"/>
        </w:rPr>
        <w:t xml:space="preserve"> </w:t>
      </w:r>
      <w:r w:rsidR="00074ACB" w:rsidRPr="00AA5BDA">
        <w:rPr>
          <w:sz w:val="24"/>
          <w:szCs w:val="24"/>
        </w:rPr>
        <w:t xml:space="preserve">to reflect the backpay of holiday pay not paid correctly </w:t>
      </w:r>
      <w:r w:rsidR="004800F1" w:rsidRPr="00AA5BDA">
        <w:rPr>
          <w:sz w:val="24"/>
          <w:szCs w:val="24"/>
        </w:rPr>
        <w:t>for applicable years from January 2016 to March 2021</w:t>
      </w:r>
      <w:r w:rsidR="00E946AC" w:rsidRPr="00AA5BDA">
        <w:rPr>
          <w:sz w:val="24"/>
          <w:szCs w:val="24"/>
        </w:rPr>
        <w:t>,</w:t>
      </w:r>
      <w:r w:rsidR="008161C1" w:rsidRPr="00AA5BDA">
        <w:rPr>
          <w:sz w:val="24"/>
          <w:szCs w:val="24"/>
        </w:rPr>
        <w:t xml:space="preserve"> </w:t>
      </w:r>
      <w:r w:rsidR="00E946AC" w:rsidRPr="00AA5BDA">
        <w:rPr>
          <w:sz w:val="24"/>
          <w:szCs w:val="24"/>
        </w:rPr>
        <w:t>t</w:t>
      </w:r>
      <w:r w:rsidR="008161C1" w:rsidRPr="00AA5BDA">
        <w:rPr>
          <w:sz w:val="24"/>
          <w:szCs w:val="24"/>
        </w:rPr>
        <w:t xml:space="preserve">his sum will be calculated to reflect actual length of service.  The sum is to be calculated using pay rates as </w:t>
      </w:r>
      <w:proofErr w:type="gramStart"/>
      <w:r w:rsidR="008161C1" w:rsidRPr="00AA5BDA">
        <w:rPr>
          <w:sz w:val="24"/>
          <w:szCs w:val="24"/>
        </w:rPr>
        <w:t>at</w:t>
      </w:r>
      <w:proofErr w:type="gramEnd"/>
      <w:r w:rsidR="008161C1" w:rsidRPr="00AA5BDA">
        <w:rPr>
          <w:sz w:val="24"/>
          <w:szCs w:val="24"/>
        </w:rPr>
        <w:t xml:space="preserve"> April 2020</w:t>
      </w:r>
      <w:r w:rsidR="003730B6" w:rsidRPr="00AA5BDA">
        <w:rPr>
          <w:sz w:val="24"/>
          <w:szCs w:val="24"/>
        </w:rPr>
        <w:t>.</w:t>
      </w:r>
      <w:r w:rsidR="008161C1" w:rsidRPr="00AA5BDA">
        <w:rPr>
          <w:sz w:val="24"/>
          <w:szCs w:val="24"/>
        </w:rPr>
        <w:t xml:space="preserve"> </w:t>
      </w:r>
    </w:p>
    <w:p w14:paraId="4AC2D642" w14:textId="77777777" w:rsidR="00DF0BB7" w:rsidRPr="00AA5BDA" w:rsidRDefault="00DF0BB7" w:rsidP="00AA5BDA">
      <w:pPr>
        <w:pStyle w:val="Style1"/>
        <w:ind w:left="-567"/>
        <w:jc w:val="both"/>
        <w:rPr>
          <w:sz w:val="24"/>
          <w:szCs w:val="24"/>
        </w:rPr>
      </w:pPr>
    </w:p>
    <w:p w14:paraId="1F89E8B9" w14:textId="49C02993" w:rsidR="00DF0BB7" w:rsidRPr="00AA5BDA" w:rsidRDefault="004800F1" w:rsidP="00A121F3">
      <w:pPr>
        <w:pStyle w:val="Style1"/>
        <w:numPr>
          <w:ilvl w:val="0"/>
          <w:numId w:val="12"/>
        </w:numPr>
        <w:ind w:left="426" w:hanging="426"/>
        <w:jc w:val="both"/>
        <w:rPr>
          <w:sz w:val="24"/>
          <w:szCs w:val="24"/>
        </w:rPr>
      </w:pPr>
      <w:r w:rsidRPr="00AA5BDA">
        <w:rPr>
          <w:sz w:val="24"/>
          <w:szCs w:val="24"/>
        </w:rPr>
        <w:t>As applicable a</w:t>
      </w:r>
      <w:r w:rsidR="008161C1" w:rsidRPr="00AA5BDA">
        <w:rPr>
          <w:sz w:val="24"/>
          <w:szCs w:val="24"/>
        </w:rPr>
        <w:t xml:space="preserve"> separate payment will be paid </w:t>
      </w:r>
      <w:r w:rsidR="00DF0BB7" w:rsidRPr="00AA5BDA">
        <w:rPr>
          <w:sz w:val="24"/>
          <w:szCs w:val="24"/>
        </w:rPr>
        <w:t>to the Employee of £50 in respect of each complete year of continuous service of actively participating in the Local Government Pension Scheme (LGPS) in the period prior to March 2014 to reflect potential impact under the previous</w:t>
      </w:r>
      <w:r w:rsidR="00074ACB" w:rsidRPr="00AA5BDA">
        <w:rPr>
          <w:sz w:val="24"/>
          <w:szCs w:val="24"/>
        </w:rPr>
        <w:t xml:space="preserve"> and now closed</w:t>
      </w:r>
      <w:r w:rsidR="00DF0BB7" w:rsidRPr="00AA5BDA">
        <w:rPr>
          <w:sz w:val="24"/>
          <w:szCs w:val="24"/>
        </w:rPr>
        <w:t xml:space="preserve"> final salary </w:t>
      </w:r>
      <w:r w:rsidRPr="00AA5BDA">
        <w:rPr>
          <w:sz w:val="24"/>
          <w:szCs w:val="24"/>
        </w:rPr>
        <w:t xml:space="preserve">pension scheme </w:t>
      </w:r>
      <w:r w:rsidR="00DF0BB7" w:rsidRPr="00AA5BDA">
        <w:rPr>
          <w:sz w:val="24"/>
          <w:szCs w:val="24"/>
        </w:rPr>
        <w:t>arrangements under the LGPS prior to April 2014. This payment will be paid to current eligible staff who were actively participating in or contributing to the LGPS prior to April 2014</w:t>
      </w:r>
      <w:r w:rsidRPr="00AA5BDA">
        <w:rPr>
          <w:sz w:val="24"/>
          <w:szCs w:val="24"/>
        </w:rPr>
        <w:t xml:space="preserve"> for service applicable to their employment with the London Borough of Waltham Forest</w:t>
      </w:r>
      <w:r w:rsidR="00DF0BB7" w:rsidRPr="00AA5BDA">
        <w:rPr>
          <w:sz w:val="24"/>
          <w:szCs w:val="24"/>
        </w:rPr>
        <w:t xml:space="preserve">. </w:t>
      </w:r>
    </w:p>
    <w:p w14:paraId="7E546D54" w14:textId="77777777" w:rsidR="00DF0BB7" w:rsidRPr="00AA5BDA" w:rsidRDefault="00DF0BB7" w:rsidP="00AA5BDA">
      <w:pPr>
        <w:pStyle w:val="ListParagraph"/>
        <w:ind w:left="-567"/>
        <w:jc w:val="both"/>
        <w:rPr>
          <w:rFonts w:ascii="Arial" w:hAnsi="Arial" w:cs="Arial"/>
          <w:sz w:val="24"/>
          <w:szCs w:val="24"/>
        </w:rPr>
      </w:pPr>
    </w:p>
    <w:p w14:paraId="074F0A8D" w14:textId="74F7D5E8" w:rsidR="00DF0BB7" w:rsidRDefault="00DF0BB7" w:rsidP="00A121F3">
      <w:pPr>
        <w:pStyle w:val="Style1"/>
        <w:numPr>
          <w:ilvl w:val="0"/>
          <w:numId w:val="12"/>
        </w:numPr>
        <w:ind w:left="426" w:hanging="426"/>
        <w:jc w:val="both"/>
        <w:rPr>
          <w:sz w:val="24"/>
          <w:szCs w:val="24"/>
        </w:rPr>
      </w:pPr>
      <w:r w:rsidRPr="00AA5BDA">
        <w:rPr>
          <w:sz w:val="24"/>
          <w:szCs w:val="24"/>
        </w:rPr>
        <w:t>For the avoidance of any doubt, the Employer’s annual leave year commences from 1</w:t>
      </w:r>
      <w:r w:rsidRPr="00AA5BDA">
        <w:rPr>
          <w:sz w:val="24"/>
          <w:szCs w:val="24"/>
          <w:vertAlign w:val="superscript"/>
        </w:rPr>
        <w:t>st</w:t>
      </w:r>
      <w:r w:rsidRPr="00AA5BDA">
        <w:rPr>
          <w:sz w:val="24"/>
          <w:szCs w:val="24"/>
        </w:rPr>
        <w:t xml:space="preserve"> April through to 31</w:t>
      </w:r>
      <w:r w:rsidRPr="00AA5BDA">
        <w:rPr>
          <w:sz w:val="24"/>
          <w:szCs w:val="24"/>
          <w:vertAlign w:val="superscript"/>
        </w:rPr>
        <w:t>st</w:t>
      </w:r>
      <w:r w:rsidRPr="00AA5BDA">
        <w:rPr>
          <w:sz w:val="24"/>
          <w:szCs w:val="24"/>
        </w:rPr>
        <w:t xml:space="preserve"> March the following year. </w:t>
      </w:r>
    </w:p>
    <w:p w14:paraId="4D7CCB61" w14:textId="77777777" w:rsidR="00BA3500" w:rsidRDefault="00BA3500" w:rsidP="00BA3500">
      <w:pPr>
        <w:pStyle w:val="ListParagraph"/>
        <w:rPr>
          <w:sz w:val="24"/>
          <w:szCs w:val="24"/>
        </w:rPr>
      </w:pPr>
    </w:p>
    <w:p w14:paraId="62D62CAD" w14:textId="6EFAA758" w:rsidR="00BA3500" w:rsidRPr="00AA5BDA" w:rsidRDefault="00BA3500" w:rsidP="00A121F3">
      <w:pPr>
        <w:pStyle w:val="Style1"/>
        <w:numPr>
          <w:ilvl w:val="0"/>
          <w:numId w:val="12"/>
        </w:numPr>
        <w:ind w:left="426" w:hanging="426"/>
        <w:jc w:val="both"/>
        <w:rPr>
          <w:sz w:val="24"/>
          <w:szCs w:val="24"/>
        </w:rPr>
      </w:pPr>
      <w:r>
        <w:rPr>
          <w:sz w:val="24"/>
          <w:szCs w:val="24"/>
        </w:rPr>
        <w:t xml:space="preserve">The Employer </w:t>
      </w:r>
      <w:proofErr w:type="spellStart"/>
      <w:r>
        <w:rPr>
          <w:sz w:val="24"/>
          <w:szCs w:val="24"/>
        </w:rPr>
        <w:t>recognises</w:t>
      </w:r>
      <w:proofErr w:type="spellEnd"/>
      <w:r>
        <w:rPr>
          <w:sz w:val="24"/>
          <w:szCs w:val="24"/>
        </w:rPr>
        <w:t xml:space="preserve"> that there will be some Employees who have multiple </w:t>
      </w:r>
      <w:r w:rsidR="00ED19C6">
        <w:rPr>
          <w:sz w:val="24"/>
          <w:szCs w:val="24"/>
        </w:rPr>
        <w:t xml:space="preserve">employment </w:t>
      </w:r>
      <w:r>
        <w:rPr>
          <w:sz w:val="24"/>
          <w:szCs w:val="24"/>
        </w:rPr>
        <w:t>contracts with the Employer for different jo</w:t>
      </w:r>
      <w:r w:rsidR="003D13A8">
        <w:rPr>
          <w:sz w:val="24"/>
          <w:szCs w:val="24"/>
        </w:rPr>
        <w:t>bs</w:t>
      </w:r>
      <w:r>
        <w:rPr>
          <w:sz w:val="24"/>
          <w:szCs w:val="24"/>
        </w:rPr>
        <w:t xml:space="preserve">. </w:t>
      </w:r>
      <w:r w:rsidR="003D13A8">
        <w:rPr>
          <w:sz w:val="24"/>
          <w:szCs w:val="24"/>
        </w:rPr>
        <w:t xml:space="preserve">Where an Employee is a member of the Local Government Pension Scheme then the payments at clause </w:t>
      </w:r>
      <w:r w:rsidR="008F611C">
        <w:rPr>
          <w:sz w:val="24"/>
          <w:szCs w:val="24"/>
        </w:rPr>
        <w:t>7</w:t>
      </w:r>
      <w:r w:rsidR="003D13A8">
        <w:rPr>
          <w:sz w:val="24"/>
          <w:szCs w:val="24"/>
        </w:rPr>
        <w:t xml:space="preserve"> (c) and (d) will only be paid once, despite the Employee having multiple employment contracts. In relation to payments at clauses </w:t>
      </w:r>
      <w:r w:rsidR="008F611C">
        <w:rPr>
          <w:sz w:val="24"/>
          <w:szCs w:val="24"/>
        </w:rPr>
        <w:t>7</w:t>
      </w:r>
      <w:r w:rsidR="003D13A8">
        <w:rPr>
          <w:sz w:val="24"/>
          <w:szCs w:val="24"/>
        </w:rPr>
        <w:t xml:space="preserve"> (a)</w:t>
      </w:r>
      <w:r w:rsidR="008F611C">
        <w:rPr>
          <w:sz w:val="24"/>
          <w:szCs w:val="24"/>
        </w:rPr>
        <w:t xml:space="preserve"> and (b)</w:t>
      </w:r>
      <w:r w:rsidR="00ED19C6">
        <w:rPr>
          <w:sz w:val="24"/>
          <w:szCs w:val="24"/>
        </w:rPr>
        <w:t xml:space="preserve">, where applicable </w:t>
      </w:r>
      <w:r w:rsidR="003D13A8">
        <w:rPr>
          <w:sz w:val="24"/>
          <w:szCs w:val="24"/>
        </w:rPr>
        <w:t xml:space="preserve">will be paid per contract. </w:t>
      </w:r>
    </w:p>
    <w:p w14:paraId="583BF50D" w14:textId="0F34DFD9" w:rsidR="00E27140" w:rsidRPr="00ED19C6" w:rsidRDefault="00E27140" w:rsidP="00ED19C6">
      <w:pPr>
        <w:jc w:val="both"/>
        <w:rPr>
          <w:rFonts w:ascii="Arial" w:hAnsi="Arial" w:cs="Arial"/>
          <w:sz w:val="24"/>
          <w:szCs w:val="24"/>
        </w:rPr>
      </w:pPr>
    </w:p>
    <w:p w14:paraId="77B709CF" w14:textId="606D3685" w:rsidR="00C01736" w:rsidRPr="00F26A84" w:rsidRDefault="00DF0BB7" w:rsidP="00A121F3">
      <w:pPr>
        <w:pStyle w:val="Style1"/>
        <w:numPr>
          <w:ilvl w:val="0"/>
          <w:numId w:val="12"/>
        </w:numPr>
        <w:ind w:left="426" w:hanging="426"/>
        <w:jc w:val="both"/>
        <w:rPr>
          <w:sz w:val="24"/>
          <w:szCs w:val="24"/>
        </w:rPr>
      </w:pPr>
      <w:r w:rsidRPr="00AA5BDA">
        <w:rPr>
          <w:sz w:val="24"/>
          <w:szCs w:val="24"/>
        </w:rPr>
        <w:t>The Employee will rece</w:t>
      </w:r>
      <w:r w:rsidRPr="00F26A84">
        <w:rPr>
          <w:sz w:val="24"/>
          <w:szCs w:val="24"/>
        </w:rPr>
        <w:t>ive</w:t>
      </w:r>
      <w:r w:rsidR="008F611C" w:rsidRPr="00F26A84">
        <w:rPr>
          <w:sz w:val="24"/>
          <w:szCs w:val="24"/>
        </w:rPr>
        <w:t xml:space="preserve"> a total sum of </w:t>
      </w:r>
      <w:proofErr w:type="gramStart"/>
      <w:r w:rsidR="008F611C" w:rsidRPr="00F26A84">
        <w:rPr>
          <w:sz w:val="24"/>
          <w:szCs w:val="24"/>
        </w:rPr>
        <w:t>£[</w:t>
      </w:r>
      <w:proofErr w:type="gramEnd"/>
      <w:r w:rsidR="008F611C" w:rsidRPr="00F26A84">
        <w:rPr>
          <w:sz w:val="24"/>
          <w:szCs w:val="24"/>
        </w:rPr>
        <w:t>insert amount] and this sum compromises of the following breakdown</w:t>
      </w:r>
      <w:r w:rsidRPr="00F26A84">
        <w:rPr>
          <w:sz w:val="24"/>
          <w:szCs w:val="24"/>
        </w:rPr>
        <w:t>:</w:t>
      </w:r>
    </w:p>
    <w:p w14:paraId="5B3017C8" w14:textId="77777777" w:rsidR="00C01736" w:rsidRPr="00AA5BDA" w:rsidRDefault="00C01736" w:rsidP="00AA5BDA">
      <w:pPr>
        <w:pStyle w:val="Style1"/>
        <w:jc w:val="both"/>
        <w:rPr>
          <w:sz w:val="24"/>
          <w:szCs w:val="24"/>
        </w:rPr>
      </w:pPr>
    </w:p>
    <w:p w14:paraId="49D079BD" w14:textId="3B0C9F6C" w:rsidR="006D5BBA" w:rsidRPr="00ED19C6" w:rsidRDefault="00C01736" w:rsidP="00AA5BDA">
      <w:pPr>
        <w:pStyle w:val="Style1"/>
        <w:numPr>
          <w:ilvl w:val="0"/>
          <w:numId w:val="15"/>
        </w:numPr>
        <w:jc w:val="both"/>
        <w:rPr>
          <w:sz w:val="24"/>
          <w:szCs w:val="24"/>
        </w:rPr>
      </w:pPr>
      <w:r w:rsidRPr="00A121F3">
        <w:rPr>
          <w:sz w:val="24"/>
          <w:szCs w:val="24"/>
          <w:highlight w:val="yellow"/>
        </w:rPr>
        <w:t>£</w:t>
      </w:r>
      <w:r w:rsidR="00652C69" w:rsidRPr="00A121F3">
        <w:rPr>
          <w:sz w:val="24"/>
          <w:szCs w:val="24"/>
          <w:highlight w:val="yellow"/>
        </w:rPr>
        <w:t>{insert amount</w:t>
      </w:r>
      <w:r w:rsidR="00613AA0">
        <w:rPr>
          <w:sz w:val="24"/>
          <w:szCs w:val="24"/>
          <w:highlight w:val="yellow"/>
        </w:rPr>
        <w:t>/s</w:t>
      </w:r>
      <w:r w:rsidR="00652C69" w:rsidRPr="00A121F3">
        <w:rPr>
          <w:sz w:val="24"/>
          <w:szCs w:val="24"/>
          <w:highlight w:val="yellow"/>
        </w:rPr>
        <w:t>}</w:t>
      </w:r>
      <w:r w:rsidRPr="00ED19C6">
        <w:rPr>
          <w:sz w:val="24"/>
          <w:szCs w:val="24"/>
        </w:rPr>
        <w:t xml:space="preserve"> in respect of settlement of any </w:t>
      </w:r>
      <w:r w:rsidR="00C66DFD" w:rsidRPr="00ED19C6">
        <w:rPr>
          <w:sz w:val="24"/>
          <w:szCs w:val="24"/>
        </w:rPr>
        <w:t>liabilit</w:t>
      </w:r>
      <w:r w:rsidRPr="00ED19C6">
        <w:rPr>
          <w:sz w:val="24"/>
          <w:szCs w:val="24"/>
        </w:rPr>
        <w:t>y</w:t>
      </w:r>
      <w:r w:rsidR="00C66DFD" w:rsidRPr="00ED19C6">
        <w:rPr>
          <w:sz w:val="24"/>
          <w:szCs w:val="24"/>
        </w:rPr>
        <w:t xml:space="preserve"> relating to the failure to correctly calculate holiday pay in accordance with Green Book terms, this </w:t>
      </w:r>
      <w:r w:rsidR="00C66DFD" w:rsidRPr="00ED19C6">
        <w:rPr>
          <w:sz w:val="24"/>
          <w:szCs w:val="24"/>
        </w:rPr>
        <w:lastRenderedPageBreak/>
        <w:t>payment</w:t>
      </w:r>
      <w:r w:rsidRPr="00ED19C6">
        <w:rPr>
          <w:sz w:val="24"/>
          <w:szCs w:val="24"/>
        </w:rPr>
        <w:t xml:space="preserve"> which will be subject to deductions for tax and National Insurance</w:t>
      </w:r>
      <w:r w:rsidR="004800F1" w:rsidRPr="00ED19C6">
        <w:rPr>
          <w:sz w:val="24"/>
          <w:szCs w:val="24"/>
        </w:rPr>
        <w:t>,</w:t>
      </w:r>
      <w:r w:rsidRPr="00ED19C6">
        <w:rPr>
          <w:sz w:val="24"/>
          <w:szCs w:val="24"/>
        </w:rPr>
        <w:t xml:space="preserve"> as applicable</w:t>
      </w:r>
      <w:r w:rsidR="00900175" w:rsidRPr="00ED19C6">
        <w:rPr>
          <w:sz w:val="24"/>
          <w:szCs w:val="24"/>
        </w:rPr>
        <w:t xml:space="preserve">. </w:t>
      </w:r>
      <w:r w:rsidR="00900175" w:rsidRPr="00F26A84">
        <w:rPr>
          <w:sz w:val="24"/>
          <w:szCs w:val="24"/>
        </w:rPr>
        <w:t>This payment will not be liable for pensionable contributions.</w:t>
      </w:r>
      <w:bookmarkStart w:id="0" w:name="_Hlk89941684"/>
    </w:p>
    <w:p w14:paraId="3856978E" w14:textId="77777777" w:rsidR="006D5BBA" w:rsidRPr="00ED19C6" w:rsidRDefault="006D5BBA" w:rsidP="00AA5BDA">
      <w:pPr>
        <w:pStyle w:val="Style1"/>
        <w:ind w:left="709"/>
        <w:jc w:val="both"/>
        <w:rPr>
          <w:sz w:val="24"/>
          <w:szCs w:val="24"/>
        </w:rPr>
      </w:pPr>
    </w:p>
    <w:p w14:paraId="58C8F9B0" w14:textId="5AF773E4" w:rsidR="003915D9" w:rsidRPr="00ED19C6" w:rsidRDefault="00B15776" w:rsidP="000F59B4">
      <w:pPr>
        <w:pStyle w:val="Style1"/>
        <w:numPr>
          <w:ilvl w:val="0"/>
          <w:numId w:val="15"/>
        </w:numPr>
        <w:jc w:val="both"/>
        <w:rPr>
          <w:sz w:val="24"/>
          <w:szCs w:val="24"/>
        </w:rPr>
      </w:pPr>
      <w:r w:rsidRPr="00ED19C6">
        <w:rPr>
          <w:sz w:val="24"/>
          <w:szCs w:val="24"/>
        </w:rPr>
        <w:t xml:space="preserve">The Employer </w:t>
      </w:r>
      <w:proofErr w:type="spellStart"/>
      <w:r w:rsidRPr="00ED19C6">
        <w:rPr>
          <w:sz w:val="24"/>
          <w:szCs w:val="24"/>
        </w:rPr>
        <w:t>recognises</w:t>
      </w:r>
      <w:proofErr w:type="spellEnd"/>
      <w:r w:rsidRPr="00ED19C6">
        <w:rPr>
          <w:sz w:val="24"/>
          <w:szCs w:val="24"/>
        </w:rPr>
        <w:t xml:space="preserve"> that the Employee and the Employer may not have paid the correct pension contribution due to the failure to pay holiday pay correctly during the period from 1</w:t>
      </w:r>
      <w:r w:rsidRPr="00ED19C6">
        <w:rPr>
          <w:sz w:val="24"/>
          <w:szCs w:val="24"/>
          <w:vertAlign w:val="superscript"/>
        </w:rPr>
        <w:t>st</w:t>
      </w:r>
      <w:r w:rsidRPr="00ED19C6">
        <w:rPr>
          <w:sz w:val="24"/>
          <w:szCs w:val="24"/>
        </w:rPr>
        <w:t xml:space="preserve"> January 2016 to 31</w:t>
      </w:r>
      <w:r w:rsidRPr="00ED19C6">
        <w:rPr>
          <w:sz w:val="24"/>
          <w:szCs w:val="24"/>
          <w:vertAlign w:val="superscript"/>
        </w:rPr>
        <w:t>st</w:t>
      </w:r>
      <w:r w:rsidRPr="00ED19C6">
        <w:rPr>
          <w:sz w:val="24"/>
          <w:szCs w:val="24"/>
        </w:rPr>
        <w:t xml:space="preserve"> March 2021 and therefore as compensation for any potential pension loss suffered the Council will increase the compensation to employees who were active members of the Pension scheme by </w:t>
      </w:r>
      <w:r w:rsidR="006D5BBA" w:rsidRPr="00ED19C6">
        <w:rPr>
          <w:sz w:val="24"/>
          <w:szCs w:val="24"/>
        </w:rPr>
        <w:t>6.8</w:t>
      </w:r>
      <w:r w:rsidRPr="00ED19C6">
        <w:rPr>
          <w:sz w:val="24"/>
          <w:szCs w:val="24"/>
        </w:rPr>
        <w:t>%</w:t>
      </w:r>
      <w:r w:rsidR="007375C5" w:rsidRPr="00ED19C6">
        <w:rPr>
          <w:sz w:val="24"/>
          <w:szCs w:val="24"/>
        </w:rPr>
        <w:t xml:space="preserve">. This is calculated as 6.8% of the offer set out at clause </w:t>
      </w:r>
      <w:r w:rsidR="00ED19C6" w:rsidRPr="00ED19C6">
        <w:rPr>
          <w:sz w:val="24"/>
          <w:szCs w:val="24"/>
        </w:rPr>
        <w:t>8</w:t>
      </w:r>
      <w:r w:rsidR="007375C5" w:rsidRPr="00ED19C6">
        <w:rPr>
          <w:sz w:val="24"/>
          <w:szCs w:val="24"/>
        </w:rPr>
        <w:t>(a)</w:t>
      </w:r>
      <w:bookmarkEnd w:id="0"/>
      <w:r w:rsidR="000F59B4" w:rsidRPr="00ED19C6">
        <w:rPr>
          <w:sz w:val="24"/>
          <w:szCs w:val="24"/>
        </w:rPr>
        <w:t xml:space="preserve">. </w:t>
      </w:r>
      <w:r w:rsidR="00B74533" w:rsidRPr="00ED19C6">
        <w:rPr>
          <w:sz w:val="24"/>
          <w:szCs w:val="24"/>
        </w:rPr>
        <w:t xml:space="preserve">The Employee will receive </w:t>
      </w:r>
      <w:r w:rsidR="003915D9" w:rsidRPr="00ED19C6">
        <w:rPr>
          <w:sz w:val="24"/>
          <w:szCs w:val="24"/>
        </w:rPr>
        <w:t>£</w:t>
      </w:r>
      <w:r w:rsidR="00ED19C6" w:rsidRPr="00ED19C6">
        <w:rPr>
          <w:sz w:val="24"/>
          <w:szCs w:val="24"/>
        </w:rPr>
        <w:t xml:space="preserve"> </w:t>
      </w:r>
      <w:r w:rsidR="00415CC0">
        <w:rPr>
          <w:sz w:val="24"/>
          <w:szCs w:val="24"/>
          <w:highlight w:val="yellow"/>
        </w:rPr>
        <w:t>{</w:t>
      </w:r>
      <w:r w:rsidR="003915D9" w:rsidRPr="00A121F3">
        <w:rPr>
          <w:sz w:val="24"/>
          <w:szCs w:val="24"/>
          <w:highlight w:val="yellow"/>
        </w:rPr>
        <w:t>insert amount</w:t>
      </w:r>
      <w:r w:rsidR="002B227A" w:rsidRPr="00A121F3">
        <w:rPr>
          <w:sz w:val="24"/>
          <w:szCs w:val="24"/>
          <w:highlight w:val="yellow"/>
        </w:rPr>
        <w:t>]</w:t>
      </w:r>
      <w:r w:rsidR="007375C5" w:rsidRPr="00ED19C6">
        <w:rPr>
          <w:sz w:val="24"/>
          <w:szCs w:val="24"/>
        </w:rPr>
        <w:t xml:space="preserve"> which represents </w:t>
      </w:r>
      <w:r w:rsidR="007375C5" w:rsidRPr="00F26A84">
        <w:rPr>
          <w:sz w:val="24"/>
          <w:szCs w:val="24"/>
        </w:rPr>
        <w:t>pension loss</w:t>
      </w:r>
      <w:r w:rsidR="002B227A" w:rsidRPr="00F26A84">
        <w:rPr>
          <w:sz w:val="24"/>
          <w:szCs w:val="24"/>
        </w:rPr>
        <w:t xml:space="preserve">. This payment will </w:t>
      </w:r>
      <w:r w:rsidR="003915D9" w:rsidRPr="00F26A84">
        <w:rPr>
          <w:sz w:val="24"/>
          <w:szCs w:val="24"/>
        </w:rPr>
        <w:t>be subject to deductions for tax and National Insurance, as applicable. This payment will not be liable for pensionable contributions.</w:t>
      </w:r>
      <w:r w:rsidR="00CB62F0" w:rsidRPr="00F26A84">
        <w:rPr>
          <w:sz w:val="24"/>
          <w:szCs w:val="24"/>
        </w:rPr>
        <w:t xml:space="preserve"> For</w:t>
      </w:r>
      <w:r w:rsidR="00CB62F0" w:rsidRPr="00ED19C6">
        <w:rPr>
          <w:sz w:val="24"/>
          <w:szCs w:val="24"/>
        </w:rPr>
        <w:t xml:space="preserve"> the avoidance of any doubt, this is an additional payment</w:t>
      </w:r>
      <w:r w:rsidR="002C6961" w:rsidRPr="00ED19C6">
        <w:rPr>
          <w:sz w:val="24"/>
          <w:szCs w:val="24"/>
        </w:rPr>
        <w:t xml:space="preserve">, separate to the payment at clause </w:t>
      </w:r>
      <w:r w:rsidR="00FF7C14">
        <w:rPr>
          <w:sz w:val="24"/>
          <w:szCs w:val="24"/>
        </w:rPr>
        <w:t>7</w:t>
      </w:r>
      <w:r w:rsidR="002C6961" w:rsidRPr="00ED19C6">
        <w:rPr>
          <w:sz w:val="24"/>
          <w:szCs w:val="24"/>
        </w:rPr>
        <w:t xml:space="preserve">(a).  </w:t>
      </w:r>
    </w:p>
    <w:p w14:paraId="752535FF" w14:textId="77777777" w:rsidR="003915D9" w:rsidRPr="00ED19C6" w:rsidRDefault="003915D9" w:rsidP="00E27140">
      <w:pPr>
        <w:pStyle w:val="Style1"/>
        <w:jc w:val="both"/>
        <w:rPr>
          <w:sz w:val="24"/>
          <w:szCs w:val="24"/>
        </w:rPr>
      </w:pPr>
    </w:p>
    <w:p w14:paraId="0148B85E" w14:textId="633877DC" w:rsidR="003915D9" w:rsidRPr="00AA5BDA" w:rsidRDefault="003915D9" w:rsidP="00AA5BDA">
      <w:pPr>
        <w:pStyle w:val="Style1"/>
        <w:numPr>
          <w:ilvl w:val="0"/>
          <w:numId w:val="15"/>
        </w:numPr>
        <w:jc w:val="both"/>
        <w:rPr>
          <w:sz w:val="24"/>
          <w:szCs w:val="24"/>
        </w:rPr>
      </w:pPr>
      <w:proofErr w:type="gramStart"/>
      <w:r w:rsidRPr="00A121F3">
        <w:rPr>
          <w:sz w:val="24"/>
          <w:szCs w:val="24"/>
          <w:highlight w:val="yellow"/>
        </w:rPr>
        <w:t>£</w:t>
      </w:r>
      <w:r w:rsidR="00415CC0">
        <w:rPr>
          <w:sz w:val="24"/>
          <w:szCs w:val="24"/>
          <w:highlight w:val="yellow"/>
        </w:rPr>
        <w:t>{</w:t>
      </w:r>
      <w:proofErr w:type="gramEnd"/>
      <w:r w:rsidR="00A121F3" w:rsidRPr="00A121F3">
        <w:rPr>
          <w:sz w:val="24"/>
          <w:szCs w:val="24"/>
          <w:highlight w:val="yellow"/>
        </w:rPr>
        <w:t>i</w:t>
      </w:r>
      <w:r w:rsidRPr="00A121F3">
        <w:rPr>
          <w:sz w:val="24"/>
          <w:szCs w:val="24"/>
          <w:highlight w:val="yellow"/>
        </w:rPr>
        <w:t>nsert amount}</w:t>
      </w:r>
      <w:r w:rsidRPr="00ED19C6">
        <w:rPr>
          <w:sz w:val="24"/>
          <w:szCs w:val="24"/>
        </w:rPr>
        <w:t xml:space="preserve"> in respect of compensation for any pension loss for the period prior to 2014 which will</w:t>
      </w:r>
      <w:r w:rsidRPr="00E27140">
        <w:rPr>
          <w:sz w:val="24"/>
          <w:szCs w:val="24"/>
        </w:rPr>
        <w:t xml:space="preserve"> be subject to deductions for tax and National Insurance, as applicable. </w:t>
      </w:r>
      <w:r w:rsidRPr="00F26A84">
        <w:rPr>
          <w:sz w:val="24"/>
          <w:szCs w:val="24"/>
        </w:rPr>
        <w:t>This payment will not be liable for pensionable contributions</w:t>
      </w:r>
    </w:p>
    <w:p w14:paraId="72CE2255" w14:textId="6364B11F" w:rsidR="00C01736" w:rsidRPr="00AA5BDA" w:rsidRDefault="00C01736" w:rsidP="00AA5BDA">
      <w:pPr>
        <w:pStyle w:val="Style1"/>
        <w:ind w:left="709"/>
        <w:jc w:val="both"/>
        <w:rPr>
          <w:sz w:val="24"/>
          <w:szCs w:val="24"/>
        </w:rPr>
      </w:pPr>
    </w:p>
    <w:p w14:paraId="7A658F2B" w14:textId="3EFB1F51" w:rsidR="00DF5C23" w:rsidRPr="00BA3500" w:rsidRDefault="00DF5C23" w:rsidP="00AA5BDA">
      <w:pPr>
        <w:pStyle w:val="ListParagraph"/>
        <w:numPr>
          <w:ilvl w:val="0"/>
          <w:numId w:val="15"/>
        </w:numPr>
        <w:ind w:right="284"/>
        <w:jc w:val="both"/>
        <w:rPr>
          <w:rFonts w:ascii="Arial" w:eastAsia="Calibri" w:hAnsi="Arial" w:cs="Arial"/>
          <w:sz w:val="24"/>
          <w:szCs w:val="24"/>
        </w:rPr>
      </w:pPr>
      <w:proofErr w:type="gramStart"/>
      <w:r w:rsidRPr="003A4672">
        <w:rPr>
          <w:rFonts w:ascii="Arial" w:hAnsi="Arial" w:cs="Arial"/>
          <w:sz w:val="24"/>
          <w:szCs w:val="24"/>
          <w:highlight w:val="yellow"/>
        </w:rPr>
        <w:t>£</w:t>
      </w:r>
      <w:r w:rsidR="003A4672" w:rsidRPr="003A4672">
        <w:rPr>
          <w:rFonts w:ascii="Arial" w:hAnsi="Arial" w:cs="Arial"/>
          <w:sz w:val="24"/>
          <w:szCs w:val="24"/>
          <w:highlight w:val="yellow"/>
        </w:rPr>
        <w:t>(</w:t>
      </w:r>
      <w:proofErr w:type="gramEnd"/>
      <w:r w:rsidR="003A4672" w:rsidRPr="003A4672">
        <w:rPr>
          <w:rFonts w:ascii="Arial" w:hAnsi="Arial" w:cs="Arial"/>
          <w:sz w:val="24"/>
          <w:szCs w:val="24"/>
          <w:highlight w:val="yellow"/>
        </w:rPr>
        <w:t>insert amount</w:t>
      </w:r>
      <w:r w:rsidR="003A4672">
        <w:rPr>
          <w:rFonts w:ascii="Arial" w:hAnsi="Arial" w:cs="Arial"/>
          <w:sz w:val="24"/>
          <w:szCs w:val="24"/>
        </w:rPr>
        <w:t xml:space="preserve">) </w:t>
      </w:r>
      <w:r w:rsidR="00310486">
        <w:rPr>
          <w:rFonts w:ascii="Arial" w:hAnsi="Arial" w:cs="Arial"/>
          <w:sz w:val="24"/>
          <w:szCs w:val="24"/>
        </w:rPr>
        <w:t xml:space="preserve">as a gesture of goodwill </w:t>
      </w:r>
      <w:r w:rsidR="007975D7">
        <w:rPr>
          <w:rFonts w:ascii="Arial" w:hAnsi="Arial" w:cs="Arial"/>
          <w:sz w:val="24"/>
          <w:szCs w:val="24"/>
        </w:rPr>
        <w:t>paid to the Employee to recogni</w:t>
      </w:r>
      <w:r w:rsidR="00925404">
        <w:rPr>
          <w:rFonts w:ascii="Arial" w:hAnsi="Arial" w:cs="Arial"/>
          <w:sz w:val="24"/>
          <w:szCs w:val="24"/>
        </w:rPr>
        <w:t>s</w:t>
      </w:r>
      <w:r w:rsidR="007975D7">
        <w:rPr>
          <w:rFonts w:ascii="Arial" w:hAnsi="Arial" w:cs="Arial"/>
          <w:sz w:val="24"/>
          <w:szCs w:val="24"/>
        </w:rPr>
        <w:t xml:space="preserve">e the length of time it has taken </w:t>
      </w:r>
      <w:r w:rsidR="00925404">
        <w:rPr>
          <w:rFonts w:ascii="Arial" w:hAnsi="Arial" w:cs="Arial"/>
          <w:sz w:val="24"/>
          <w:szCs w:val="24"/>
        </w:rPr>
        <w:t xml:space="preserve">by the Employer to process </w:t>
      </w:r>
      <w:r w:rsidR="00E31CEF">
        <w:rPr>
          <w:rFonts w:ascii="Arial" w:hAnsi="Arial" w:cs="Arial"/>
          <w:sz w:val="24"/>
          <w:szCs w:val="24"/>
        </w:rPr>
        <w:t>offers and reach a final</w:t>
      </w:r>
      <w:r w:rsidR="00925404">
        <w:rPr>
          <w:rFonts w:ascii="Arial" w:hAnsi="Arial" w:cs="Arial"/>
          <w:sz w:val="24"/>
          <w:szCs w:val="24"/>
        </w:rPr>
        <w:t xml:space="preserve"> Agreement. </w:t>
      </w:r>
      <w:r w:rsidR="00F26A84">
        <w:rPr>
          <w:rFonts w:ascii="Arial" w:hAnsi="Arial" w:cs="Arial"/>
          <w:sz w:val="24"/>
          <w:szCs w:val="24"/>
        </w:rPr>
        <w:t>This payment will be subject to tax and national insurance contributions.</w:t>
      </w:r>
      <w:r w:rsidR="00414496">
        <w:rPr>
          <w:rFonts w:ascii="Arial" w:hAnsi="Arial" w:cs="Arial"/>
          <w:sz w:val="24"/>
          <w:szCs w:val="24"/>
        </w:rPr>
        <w:t xml:space="preserve"> This payment will not be pensionable. </w:t>
      </w:r>
    </w:p>
    <w:p w14:paraId="3AF905BF" w14:textId="77777777" w:rsidR="00BA3500" w:rsidRPr="00BA3500" w:rsidRDefault="00BA3500" w:rsidP="00BA3500">
      <w:pPr>
        <w:pStyle w:val="ListParagraph"/>
        <w:rPr>
          <w:rFonts w:ascii="Arial" w:eastAsia="Calibri" w:hAnsi="Arial" w:cs="Arial"/>
          <w:sz w:val="24"/>
          <w:szCs w:val="24"/>
        </w:rPr>
      </w:pPr>
    </w:p>
    <w:p w14:paraId="5F799480" w14:textId="77777777" w:rsidR="00014489" w:rsidRPr="00AA5BDA" w:rsidRDefault="00014489" w:rsidP="00AA5BDA">
      <w:pPr>
        <w:pStyle w:val="Style1"/>
        <w:ind w:left="709"/>
        <w:jc w:val="both"/>
        <w:rPr>
          <w:sz w:val="24"/>
          <w:szCs w:val="24"/>
        </w:rPr>
      </w:pPr>
    </w:p>
    <w:p w14:paraId="5882AF86" w14:textId="289491C8" w:rsidR="008F611C" w:rsidRDefault="00DF0BB7" w:rsidP="008F611C">
      <w:pPr>
        <w:pStyle w:val="Style1"/>
        <w:numPr>
          <w:ilvl w:val="0"/>
          <w:numId w:val="12"/>
        </w:numPr>
        <w:jc w:val="both"/>
        <w:rPr>
          <w:sz w:val="24"/>
          <w:szCs w:val="24"/>
        </w:rPr>
      </w:pPr>
      <w:r w:rsidRPr="00AA5BDA">
        <w:rPr>
          <w:sz w:val="24"/>
          <w:szCs w:val="24"/>
        </w:rPr>
        <w:t>The payment</w:t>
      </w:r>
      <w:r w:rsidR="00024723" w:rsidRPr="00AA5BDA">
        <w:rPr>
          <w:sz w:val="24"/>
          <w:szCs w:val="24"/>
        </w:rPr>
        <w:t xml:space="preserve">s referred to </w:t>
      </w:r>
      <w:proofErr w:type="spellStart"/>
      <w:r w:rsidR="00024723" w:rsidRPr="00AA5BDA">
        <w:rPr>
          <w:sz w:val="24"/>
          <w:szCs w:val="24"/>
        </w:rPr>
        <w:t>at</w:t>
      </w:r>
      <w:proofErr w:type="spellEnd"/>
      <w:r w:rsidR="00024723" w:rsidRPr="00AA5BDA">
        <w:rPr>
          <w:sz w:val="24"/>
          <w:szCs w:val="24"/>
        </w:rPr>
        <w:t xml:space="preserve"> clause </w:t>
      </w:r>
      <w:r w:rsidR="008F611C">
        <w:rPr>
          <w:sz w:val="24"/>
          <w:szCs w:val="24"/>
        </w:rPr>
        <w:t>7</w:t>
      </w:r>
      <w:r w:rsidRPr="00AA5BDA">
        <w:rPr>
          <w:sz w:val="24"/>
          <w:szCs w:val="24"/>
        </w:rPr>
        <w:t xml:space="preserve"> </w:t>
      </w:r>
      <w:r w:rsidR="001A0855" w:rsidRPr="00AA5BDA">
        <w:rPr>
          <w:sz w:val="24"/>
          <w:szCs w:val="24"/>
        </w:rPr>
        <w:t>will</w:t>
      </w:r>
      <w:r w:rsidR="00C01736" w:rsidRPr="00AA5BDA">
        <w:rPr>
          <w:sz w:val="24"/>
          <w:szCs w:val="24"/>
        </w:rPr>
        <w:t xml:space="preserve"> </w:t>
      </w:r>
      <w:r w:rsidR="00281D2A" w:rsidRPr="00AA5BDA">
        <w:rPr>
          <w:sz w:val="24"/>
          <w:szCs w:val="24"/>
        </w:rPr>
        <w:t>be made</w:t>
      </w:r>
      <w:r w:rsidR="00C01736" w:rsidRPr="00AA5BDA">
        <w:rPr>
          <w:sz w:val="24"/>
          <w:szCs w:val="24"/>
        </w:rPr>
        <w:t xml:space="preserve"> </w:t>
      </w:r>
      <w:r w:rsidR="007375C5">
        <w:rPr>
          <w:sz w:val="24"/>
          <w:szCs w:val="24"/>
        </w:rPr>
        <w:t xml:space="preserve">after </w:t>
      </w:r>
      <w:r w:rsidR="00024723" w:rsidRPr="00AA5BDA">
        <w:rPr>
          <w:sz w:val="24"/>
          <w:szCs w:val="24"/>
        </w:rPr>
        <w:t xml:space="preserve">being </w:t>
      </w:r>
      <w:r w:rsidR="00B55342" w:rsidRPr="00AA5BDA">
        <w:rPr>
          <w:sz w:val="24"/>
          <w:szCs w:val="24"/>
        </w:rPr>
        <w:t>notifi</w:t>
      </w:r>
      <w:r w:rsidR="00024723" w:rsidRPr="00AA5BDA">
        <w:rPr>
          <w:sz w:val="24"/>
          <w:szCs w:val="24"/>
        </w:rPr>
        <w:t xml:space="preserve">ed </w:t>
      </w:r>
      <w:r w:rsidR="009932ED" w:rsidRPr="00AA5BDA">
        <w:rPr>
          <w:sz w:val="24"/>
          <w:szCs w:val="24"/>
        </w:rPr>
        <w:t xml:space="preserve">by ACAS that this </w:t>
      </w:r>
      <w:r w:rsidR="00024723" w:rsidRPr="00AA5BDA">
        <w:rPr>
          <w:sz w:val="24"/>
          <w:szCs w:val="24"/>
        </w:rPr>
        <w:t>A</w:t>
      </w:r>
      <w:r w:rsidR="009932ED" w:rsidRPr="00AA5BDA">
        <w:rPr>
          <w:sz w:val="24"/>
          <w:szCs w:val="24"/>
        </w:rPr>
        <w:t xml:space="preserve">greement </w:t>
      </w:r>
      <w:r w:rsidR="00024723" w:rsidRPr="00AA5BDA">
        <w:rPr>
          <w:sz w:val="24"/>
          <w:szCs w:val="24"/>
        </w:rPr>
        <w:t>is legally bindin</w:t>
      </w:r>
      <w:r w:rsidR="007375C5">
        <w:rPr>
          <w:sz w:val="24"/>
          <w:szCs w:val="24"/>
        </w:rPr>
        <w:t>g and</w:t>
      </w:r>
      <w:r w:rsidR="00ED19C6">
        <w:rPr>
          <w:sz w:val="24"/>
          <w:szCs w:val="24"/>
        </w:rPr>
        <w:t xml:space="preserve"> will be paid</w:t>
      </w:r>
      <w:r w:rsidR="007375C5">
        <w:rPr>
          <w:sz w:val="24"/>
          <w:szCs w:val="24"/>
        </w:rPr>
        <w:t xml:space="preserve"> within the next available payroll date. </w:t>
      </w:r>
    </w:p>
    <w:p w14:paraId="5C293538" w14:textId="77777777" w:rsidR="008F611C" w:rsidRDefault="008F611C" w:rsidP="008F611C">
      <w:pPr>
        <w:pStyle w:val="Style1"/>
        <w:ind w:left="153"/>
        <w:jc w:val="both"/>
        <w:rPr>
          <w:sz w:val="24"/>
          <w:szCs w:val="24"/>
        </w:rPr>
      </w:pPr>
    </w:p>
    <w:p w14:paraId="774D846B" w14:textId="77777777" w:rsidR="008F611C" w:rsidRDefault="00C66DFD" w:rsidP="008F611C">
      <w:pPr>
        <w:pStyle w:val="Style1"/>
        <w:numPr>
          <w:ilvl w:val="0"/>
          <w:numId w:val="12"/>
        </w:numPr>
        <w:jc w:val="both"/>
        <w:rPr>
          <w:sz w:val="24"/>
          <w:szCs w:val="24"/>
        </w:rPr>
      </w:pPr>
      <w:r w:rsidRPr="00AA5BDA">
        <w:rPr>
          <w:sz w:val="24"/>
          <w:szCs w:val="24"/>
        </w:rPr>
        <w:t>Only Employees who were members of the Local Government Pension Scheme will receive the pension loss payments</w:t>
      </w:r>
      <w:r w:rsidR="00024723" w:rsidRPr="00AA5BDA">
        <w:rPr>
          <w:sz w:val="24"/>
          <w:szCs w:val="24"/>
        </w:rPr>
        <w:t xml:space="preserve"> referred t</w:t>
      </w:r>
      <w:r w:rsidR="00940F24">
        <w:rPr>
          <w:sz w:val="24"/>
          <w:szCs w:val="24"/>
        </w:rPr>
        <w:t>o</w:t>
      </w:r>
      <w:r w:rsidR="00024723" w:rsidRPr="00AA5BDA">
        <w:rPr>
          <w:sz w:val="24"/>
          <w:szCs w:val="24"/>
        </w:rPr>
        <w:t xml:space="preserve"> </w:t>
      </w:r>
      <w:proofErr w:type="spellStart"/>
      <w:r w:rsidR="00024723" w:rsidRPr="00AA5BDA">
        <w:rPr>
          <w:sz w:val="24"/>
          <w:szCs w:val="24"/>
        </w:rPr>
        <w:t>at</w:t>
      </w:r>
      <w:proofErr w:type="spellEnd"/>
      <w:r w:rsidR="00024723" w:rsidRPr="00AA5BDA">
        <w:rPr>
          <w:sz w:val="24"/>
          <w:szCs w:val="24"/>
        </w:rPr>
        <w:t xml:space="preserve"> clause 7 of this Agreement. </w:t>
      </w:r>
    </w:p>
    <w:p w14:paraId="73DDFFEB" w14:textId="77777777" w:rsidR="008F611C" w:rsidRDefault="008F611C" w:rsidP="008F611C">
      <w:pPr>
        <w:pStyle w:val="ListParagraph"/>
        <w:rPr>
          <w:sz w:val="24"/>
          <w:szCs w:val="24"/>
        </w:rPr>
      </w:pPr>
    </w:p>
    <w:p w14:paraId="70315716" w14:textId="58D16601" w:rsidR="00C01736" w:rsidRPr="008F611C" w:rsidRDefault="00024723" w:rsidP="008F611C">
      <w:pPr>
        <w:pStyle w:val="Style1"/>
        <w:numPr>
          <w:ilvl w:val="0"/>
          <w:numId w:val="12"/>
        </w:numPr>
        <w:jc w:val="both"/>
        <w:rPr>
          <w:sz w:val="24"/>
          <w:szCs w:val="24"/>
        </w:rPr>
      </w:pPr>
      <w:r w:rsidRPr="008F611C">
        <w:rPr>
          <w:sz w:val="24"/>
          <w:szCs w:val="24"/>
        </w:rPr>
        <w:t xml:space="preserve">The payments referred to </w:t>
      </w:r>
      <w:proofErr w:type="spellStart"/>
      <w:r w:rsidRPr="008F611C">
        <w:rPr>
          <w:sz w:val="24"/>
          <w:szCs w:val="24"/>
        </w:rPr>
        <w:t>at</w:t>
      </w:r>
      <w:proofErr w:type="spellEnd"/>
      <w:r w:rsidRPr="008F611C">
        <w:rPr>
          <w:sz w:val="24"/>
          <w:szCs w:val="24"/>
        </w:rPr>
        <w:t xml:space="preserve"> clause </w:t>
      </w:r>
      <w:r w:rsidR="008F611C">
        <w:rPr>
          <w:sz w:val="24"/>
          <w:szCs w:val="24"/>
        </w:rPr>
        <w:t>7</w:t>
      </w:r>
      <w:r w:rsidRPr="008F611C">
        <w:rPr>
          <w:sz w:val="24"/>
          <w:szCs w:val="24"/>
        </w:rPr>
        <w:t xml:space="preserve"> are in </w:t>
      </w:r>
      <w:r w:rsidR="00A55E5D" w:rsidRPr="008F611C">
        <w:rPr>
          <w:sz w:val="24"/>
          <w:szCs w:val="24"/>
        </w:rPr>
        <w:t xml:space="preserve">full and final settlement of </w:t>
      </w:r>
      <w:r w:rsidR="007C0AB4" w:rsidRPr="008F611C">
        <w:rPr>
          <w:sz w:val="24"/>
          <w:szCs w:val="24"/>
        </w:rPr>
        <w:t xml:space="preserve">the </w:t>
      </w:r>
      <w:r w:rsidR="00ED19C6" w:rsidRPr="008F611C">
        <w:rPr>
          <w:sz w:val="24"/>
          <w:szCs w:val="24"/>
        </w:rPr>
        <w:t xml:space="preserve"> </w:t>
      </w:r>
      <w:r w:rsidR="007C0AB4" w:rsidRPr="008F611C">
        <w:rPr>
          <w:sz w:val="24"/>
          <w:szCs w:val="24"/>
        </w:rPr>
        <w:t>following:</w:t>
      </w:r>
    </w:p>
    <w:p w14:paraId="2FE6E805" w14:textId="77777777" w:rsidR="00C01736" w:rsidRPr="00AA5BDA" w:rsidRDefault="00C01736" w:rsidP="00AA5BDA">
      <w:pPr>
        <w:pStyle w:val="Style1"/>
        <w:jc w:val="both"/>
        <w:rPr>
          <w:sz w:val="24"/>
          <w:szCs w:val="24"/>
        </w:rPr>
      </w:pPr>
    </w:p>
    <w:p w14:paraId="4F29CCC5" w14:textId="77777777" w:rsidR="00024723" w:rsidRPr="00AA5BDA" w:rsidRDefault="00081E0D" w:rsidP="00A121F3">
      <w:pPr>
        <w:pStyle w:val="Style1"/>
        <w:numPr>
          <w:ilvl w:val="0"/>
          <w:numId w:val="13"/>
        </w:numPr>
        <w:ind w:left="993" w:hanging="284"/>
        <w:jc w:val="both"/>
        <w:rPr>
          <w:sz w:val="24"/>
          <w:szCs w:val="24"/>
        </w:rPr>
      </w:pPr>
      <w:r w:rsidRPr="00AA5BDA">
        <w:rPr>
          <w:sz w:val="24"/>
          <w:szCs w:val="24"/>
        </w:rPr>
        <w:t>a</w:t>
      </w:r>
      <w:r w:rsidR="00984538" w:rsidRPr="00AA5BDA">
        <w:rPr>
          <w:sz w:val="24"/>
          <w:szCs w:val="24"/>
        </w:rPr>
        <w:t xml:space="preserve">ll and any claims </w:t>
      </w:r>
      <w:r w:rsidR="00392D7B" w:rsidRPr="00AA5BDA">
        <w:rPr>
          <w:sz w:val="24"/>
          <w:szCs w:val="24"/>
        </w:rPr>
        <w:t xml:space="preserve">relating to holiday pay </w:t>
      </w:r>
      <w:r w:rsidR="003E35CC" w:rsidRPr="00AA5BDA">
        <w:rPr>
          <w:sz w:val="24"/>
          <w:szCs w:val="24"/>
        </w:rPr>
        <w:t>for underpaid holiday pay</w:t>
      </w:r>
      <w:r w:rsidR="003915D9" w:rsidRPr="00AA5BDA">
        <w:rPr>
          <w:sz w:val="24"/>
          <w:szCs w:val="24"/>
        </w:rPr>
        <w:t xml:space="preserve"> </w:t>
      </w:r>
      <w:r w:rsidR="003E35CC" w:rsidRPr="00AA5BDA">
        <w:rPr>
          <w:sz w:val="24"/>
          <w:szCs w:val="24"/>
        </w:rPr>
        <w:t>that may have accrued</w:t>
      </w:r>
      <w:r w:rsidR="00DF0BB7" w:rsidRPr="00AA5BDA">
        <w:rPr>
          <w:sz w:val="24"/>
          <w:szCs w:val="24"/>
        </w:rPr>
        <w:t xml:space="preserve"> from January </w:t>
      </w:r>
      <w:r w:rsidR="0026640E" w:rsidRPr="00AA5BDA">
        <w:rPr>
          <w:sz w:val="24"/>
          <w:szCs w:val="24"/>
        </w:rPr>
        <w:t xml:space="preserve">2016 </w:t>
      </w:r>
      <w:r w:rsidR="00DF0BB7" w:rsidRPr="00AA5BDA">
        <w:rPr>
          <w:sz w:val="24"/>
          <w:szCs w:val="24"/>
        </w:rPr>
        <w:t xml:space="preserve">to March </w:t>
      </w:r>
      <w:r w:rsidR="006B01B2" w:rsidRPr="00AA5BDA">
        <w:rPr>
          <w:sz w:val="24"/>
          <w:szCs w:val="24"/>
        </w:rPr>
        <w:t xml:space="preserve">2016 </w:t>
      </w:r>
      <w:r w:rsidR="00DF0BB7" w:rsidRPr="00AA5BDA">
        <w:rPr>
          <w:sz w:val="24"/>
          <w:szCs w:val="24"/>
        </w:rPr>
        <w:t xml:space="preserve">and </w:t>
      </w:r>
      <w:r w:rsidR="003E35CC" w:rsidRPr="00AA5BDA">
        <w:rPr>
          <w:sz w:val="24"/>
          <w:szCs w:val="24"/>
        </w:rPr>
        <w:t xml:space="preserve">annual leave years </w:t>
      </w:r>
      <w:r w:rsidR="006B01B2" w:rsidRPr="00AA5BDA">
        <w:rPr>
          <w:sz w:val="24"/>
          <w:szCs w:val="24"/>
        </w:rPr>
        <w:t>2016/17</w:t>
      </w:r>
      <w:r w:rsidR="003E35CC" w:rsidRPr="00AA5BDA">
        <w:rPr>
          <w:sz w:val="24"/>
          <w:szCs w:val="24"/>
        </w:rPr>
        <w:t xml:space="preserve"> to 2020/21 inclusive </w:t>
      </w:r>
      <w:r w:rsidR="001A0855" w:rsidRPr="00AA5BDA">
        <w:rPr>
          <w:sz w:val="24"/>
          <w:szCs w:val="24"/>
        </w:rPr>
        <w:t>which</w:t>
      </w:r>
      <w:r w:rsidR="00392D7B" w:rsidRPr="00AA5BDA">
        <w:rPr>
          <w:sz w:val="24"/>
          <w:szCs w:val="24"/>
        </w:rPr>
        <w:t xml:space="preserve"> the </w:t>
      </w:r>
      <w:r w:rsidR="00E946AC" w:rsidRPr="00AA5BDA">
        <w:rPr>
          <w:sz w:val="24"/>
          <w:szCs w:val="24"/>
        </w:rPr>
        <w:t>Employee</w:t>
      </w:r>
      <w:r w:rsidR="00392D7B" w:rsidRPr="00AA5BDA">
        <w:rPr>
          <w:sz w:val="24"/>
          <w:szCs w:val="24"/>
        </w:rPr>
        <w:t xml:space="preserve"> could have against the </w:t>
      </w:r>
      <w:r w:rsidR="00984538" w:rsidRPr="00AA5BDA">
        <w:rPr>
          <w:sz w:val="24"/>
          <w:szCs w:val="24"/>
        </w:rPr>
        <w:t xml:space="preserve">Respondent </w:t>
      </w:r>
      <w:r w:rsidR="003E35CC" w:rsidRPr="00AA5BDA">
        <w:rPr>
          <w:sz w:val="24"/>
          <w:szCs w:val="24"/>
        </w:rPr>
        <w:t>under the Working Time Regulations 1998</w:t>
      </w:r>
      <w:r w:rsidR="001A0855" w:rsidRPr="00AA5BDA">
        <w:rPr>
          <w:sz w:val="24"/>
          <w:szCs w:val="24"/>
        </w:rPr>
        <w:t xml:space="preserve">, Part Time Workers (Prevention of Less </w:t>
      </w:r>
      <w:proofErr w:type="spellStart"/>
      <w:r w:rsidR="001A0855" w:rsidRPr="00AA5BDA">
        <w:rPr>
          <w:sz w:val="24"/>
          <w:szCs w:val="24"/>
        </w:rPr>
        <w:t>Favourable</w:t>
      </w:r>
      <w:proofErr w:type="spellEnd"/>
      <w:r w:rsidR="001A0855" w:rsidRPr="00AA5BDA">
        <w:rPr>
          <w:sz w:val="24"/>
          <w:szCs w:val="24"/>
        </w:rPr>
        <w:t xml:space="preserve"> Treatment) Regulations 2000, Employment Rights Act 1996</w:t>
      </w:r>
      <w:r w:rsidR="006D5BBA" w:rsidRPr="00AA5BDA">
        <w:rPr>
          <w:sz w:val="24"/>
          <w:szCs w:val="24"/>
        </w:rPr>
        <w:t xml:space="preserve">, </w:t>
      </w:r>
      <w:r w:rsidR="001A0855" w:rsidRPr="00AA5BDA">
        <w:rPr>
          <w:sz w:val="24"/>
          <w:szCs w:val="24"/>
        </w:rPr>
        <w:t>Equality Act 20</w:t>
      </w:r>
      <w:r w:rsidR="00B0312C" w:rsidRPr="00AA5BDA">
        <w:rPr>
          <w:sz w:val="24"/>
          <w:szCs w:val="24"/>
        </w:rPr>
        <w:t>1</w:t>
      </w:r>
      <w:r w:rsidR="001A0855" w:rsidRPr="00AA5BDA">
        <w:rPr>
          <w:sz w:val="24"/>
          <w:szCs w:val="24"/>
        </w:rPr>
        <w:t>0</w:t>
      </w:r>
      <w:r w:rsidR="006D5BBA" w:rsidRPr="00AA5BDA">
        <w:rPr>
          <w:sz w:val="24"/>
          <w:szCs w:val="24"/>
        </w:rPr>
        <w:t xml:space="preserve"> and for any claims relating to </w:t>
      </w:r>
      <w:r w:rsidR="00CB62F0" w:rsidRPr="00AA5BDA">
        <w:rPr>
          <w:sz w:val="24"/>
          <w:szCs w:val="24"/>
        </w:rPr>
        <w:t xml:space="preserve">accrued </w:t>
      </w:r>
      <w:r w:rsidR="006D5BBA" w:rsidRPr="00AA5BDA">
        <w:rPr>
          <w:sz w:val="24"/>
          <w:szCs w:val="24"/>
        </w:rPr>
        <w:t>pension loss from January 2016 to 31</w:t>
      </w:r>
      <w:r w:rsidR="006D5BBA" w:rsidRPr="00AA5BDA">
        <w:rPr>
          <w:sz w:val="24"/>
          <w:szCs w:val="24"/>
          <w:vertAlign w:val="superscript"/>
        </w:rPr>
        <w:t>st</w:t>
      </w:r>
      <w:r w:rsidR="006D5BBA" w:rsidRPr="00AA5BDA">
        <w:rPr>
          <w:sz w:val="24"/>
          <w:szCs w:val="24"/>
        </w:rPr>
        <w:t xml:space="preserve"> March 202</w:t>
      </w:r>
      <w:r w:rsidR="00024723" w:rsidRPr="00AA5BDA">
        <w:rPr>
          <w:sz w:val="24"/>
          <w:szCs w:val="24"/>
        </w:rPr>
        <w:t xml:space="preserve">1. </w:t>
      </w:r>
    </w:p>
    <w:p w14:paraId="6EF67C03" w14:textId="77777777" w:rsidR="00BE243A" w:rsidRDefault="00BE243A" w:rsidP="00BE243A">
      <w:pPr>
        <w:pStyle w:val="Style1"/>
        <w:jc w:val="both"/>
        <w:rPr>
          <w:sz w:val="24"/>
          <w:szCs w:val="24"/>
        </w:rPr>
      </w:pPr>
    </w:p>
    <w:p w14:paraId="7D40A9E0" w14:textId="3C45960C" w:rsidR="00C01736" w:rsidRPr="00AA5BDA" w:rsidRDefault="00BE243A" w:rsidP="00A121F3">
      <w:pPr>
        <w:pStyle w:val="Style1"/>
        <w:ind w:left="426" w:hanging="426"/>
        <w:jc w:val="both"/>
        <w:rPr>
          <w:sz w:val="24"/>
          <w:szCs w:val="24"/>
        </w:rPr>
      </w:pPr>
      <w:r>
        <w:rPr>
          <w:sz w:val="24"/>
          <w:szCs w:val="24"/>
        </w:rPr>
        <w:t>1</w:t>
      </w:r>
      <w:r w:rsidR="00ED19C6">
        <w:rPr>
          <w:sz w:val="24"/>
          <w:szCs w:val="24"/>
        </w:rPr>
        <w:t>2</w:t>
      </w:r>
      <w:r>
        <w:rPr>
          <w:sz w:val="24"/>
          <w:szCs w:val="24"/>
        </w:rPr>
        <w:t xml:space="preserve">. </w:t>
      </w:r>
      <w:r w:rsidR="00A121F3">
        <w:rPr>
          <w:sz w:val="24"/>
          <w:szCs w:val="24"/>
        </w:rPr>
        <w:tab/>
        <w:t xml:space="preserve">The </w:t>
      </w:r>
      <w:r w:rsidR="00E946AC" w:rsidRPr="00AA5BDA">
        <w:rPr>
          <w:sz w:val="24"/>
          <w:szCs w:val="24"/>
        </w:rPr>
        <w:t>Employee</w:t>
      </w:r>
      <w:r w:rsidR="00081E0D" w:rsidRPr="00AA5BDA">
        <w:rPr>
          <w:sz w:val="24"/>
          <w:szCs w:val="24"/>
        </w:rPr>
        <w:t xml:space="preserve"> and the Respondent shall keep the terms of this </w:t>
      </w:r>
      <w:r w:rsidR="000B0448" w:rsidRPr="00AA5BDA">
        <w:rPr>
          <w:sz w:val="24"/>
          <w:szCs w:val="24"/>
        </w:rPr>
        <w:t>settlement</w:t>
      </w:r>
      <w:r w:rsidR="00081E0D" w:rsidRPr="00AA5BDA">
        <w:rPr>
          <w:sz w:val="24"/>
          <w:szCs w:val="24"/>
        </w:rPr>
        <w:t xml:space="preserve"> confidential ex</w:t>
      </w:r>
      <w:r w:rsidR="000B0448" w:rsidRPr="00AA5BDA">
        <w:rPr>
          <w:sz w:val="24"/>
          <w:szCs w:val="24"/>
        </w:rPr>
        <w:t>c</w:t>
      </w:r>
      <w:r w:rsidR="00081E0D" w:rsidRPr="00AA5BDA">
        <w:rPr>
          <w:sz w:val="24"/>
          <w:szCs w:val="24"/>
        </w:rPr>
        <w:t>e</w:t>
      </w:r>
      <w:r w:rsidR="000B0448" w:rsidRPr="00AA5BDA">
        <w:rPr>
          <w:sz w:val="24"/>
          <w:szCs w:val="24"/>
        </w:rPr>
        <w:t>p</w:t>
      </w:r>
      <w:r w:rsidR="00081E0D" w:rsidRPr="00AA5BDA">
        <w:rPr>
          <w:sz w:val="24"/>
          <w:szCs w:val="24"/>
        </w:rPr>
        <w:t>t where di</w:t>
      </w:r>
      <w:r w:rsidR="000B0448" w:rsidRPr="00AA5BDA">
        <w:rPr>
          <w:sz w:val="24"/>
          <w:szCs w:val="24"/>
        </w:rPr>
        <w:t>sclosure</w:t>
      </w:r>
      <w:r w:rsidR="00081E0D" w:rsidRPr="00AA5BDA">
        <w:rPr>
          <w:sz w:val="24"/>
          <w:szCs w:val="24"/>
        </w:rPr>
        <w:t xml:space="preserve"> </w:t>
      </w:r>
      <w:r w:rsidR="000B0448" w:rsidRPr="00AA5BDA">
        <w:rPr>
          <w:sz w:val="24"/>
          <w:szCs w:val="24"/>
        </w:rPr>
        <w:t xml:space="preserve">is </w:t>
      </w:r>
      <w:r w:rsidR="00081E0D" w:rsidRPr="00AA5BDA">
        <w:rPr>
          <w:sz w:val="24"/>
          <w:szCs w:val="24"/>
        </w:rPr>
        <w:t>to H</w:t>
      </w:r>
      <w:r w:rsidR="000B0448" w:rsidRPr="00AA5BDA">
        <w:rPr>
          <w:sz w:val="24"/>
          <w:szCs w:val="24"/>
        </w:rPr>
        <w:t>M</w:t>
      </w:r>
      <w:r w:rsidR="00081E0D" w:rsidRPr="00AA5BDA">
        <w:rPr>
          <w:sz w:val="24"/>
          <w:szCs w:val="24"/>
        </w:rPr>
        <w:t xml:space="preserve"> </w:t>
      </w:r>
      <w:r w:rsidR="000B0448" w:rsidRPr="00AA5BDA">
        <w:rPr>
          <w:sz w:val="24"/>
          <w:szCs w:val="24"/>
        </w:rPr>
        <w:t>Revenue</w:t>
      </w:r>
      <w:r w:rsidR="00081E0D" w:rsidRPr="00AA5BDA">
        <w:rPr>
          <w:sz w:val="24"/>
          <w:szCs w:val="24"/>
        </w:rPr>
        <w:t xml:space="preserve"> and </w:t>
      </w:r>
      <w:r w:rsidR="000B0448" w:rsidRPr="00AA5BDA">
        <w:rPr>
          <w:sz w:val="24"/>
          <w:szCs w:val="24"/>
        </w:rPr>
        <w:t>Customs</w:t>
      </w:r>
      <w:r w:rsidR="00FF4E28" w:rsidRPr="00AA5BDA">
        <w:rPr>
          <w:sz w:val="24"/>
          <w:szCs w:val="24"/>
        </w:rPr>
        <w:t xml:space="preserve"> and / or the government in relation to</w:t>
      </w:r>
      <w:r w:rsidR="00E05565" w:rsidRPr="00AA5BDA">
        <w:rPr>
          <w:sz w:val="24"/>
          <w:szCs w:val="24"/>
        </w:rPr>
        <w:t xml:space="preserve"> those in</w:t>
      </w:r>
      <w:r w:rsidR="00FF4E28" w:rsidRPr="00AA5BDA">
        <w:rPr>
          <w:sz w:val="24"/>
          <w:szCs w:val="24"/>
        </w:rPr>
        <w:t xml:space="preserve"> receipt of statutory benefits</w:t>
      </w:r>
      <w:r w:rsidR="00081E0D" w:rsidRPr="00AA5BDA">
        <w:rPr>
          <w:sz w:val="24"/>
          <w:szCs w:val="24"/>
        </w:rPr>
        <w:t xml:space="preserve">, </w:t>
      </w:r>
      <w:r w:rsidR="00FF4E28" w:rsidRPr="00AA5BDA">
        <w:rPr>
          <w:sz w:val="24"/>
          <w:szCs w:val="24"/>
        </w:rPr>
        <w:t xml:space="preserve">as </w:t>
      </w:r>
      <w:r w:rsidR="00081E0D" w:rsidRPr="00AA5BDA">
        <w:rPr>
          <w:sz w:val="24"/>
          <w:szCs w:val="24"/>
        </w:rPr>
        <w:t>required by law or</w:t>
      </w:r>
      <w:r w:rsidR="000B0448" w:rsidRPr="00AA5BDA">
        <w:rPr>
          <w:sz w:val="24"/>
          <w:szCs w:val="24"/>
        </w:rPr>
        <w:t xml:space="preserve">, </w:t>
      </w:r>
      <w:r w:rsidR="00081E0D" w:rsidRPr="00AA5BDA">
        <w:rPr>
          <w:sz w:val="24"/>
          <w:szCs w:val="24"/>
        </w:rPr>
        <w:t xml:space="preserve">where </w:t>
      </w:r>
      <w:r w:rsidR="000B0448" w:rsidRPr="00AA5BDA">
        <w:rPr>
          <w:sz w:val="24"/>
          <w:szCs w:val="24"/>
        </w:rPr>
        <w:t>necessary</w:t>
      </w:r>
      <w:r w:rsidR="00081E0D" w:rsidRPr="00AA5BDA">
        <w:rPr>
          <w:sz w:val="24"/>
          <w:szCs w:val="24"/>
        </w:rPr>
        <w:t xml:space="preserve"> and </w:t>
      </w:r>
      <w:r w:rsidR="000B0448" w:rsidRPr="00AA5BDA">
        <w:rPr>
          <w:sz w:val="24"/>
          <w:szCs w:val="24"/>
        </w:rPr>
        <w:t xml:space="preserve">appropriate, </w:t>
      </w:r>
      <w:r w:rsidR="00081E0D" w:rsidRPr="00AA5BDA">
        <w:rPr>
          <w:sz w:val="24"/>
          <w:szCs w:val="24"/>
        </w:rPr>
        <w:t>to their legal or professional advisers</w:t>
      </w:r>
      <w:r w:rsidR="008B7C51">
        <w:rPr>
          <w:sz w:val="24"/>
          <w:szCs w:val="24"/>
        </w:rPr>
        <w:t xml:space="preserve"> (including trade union officials)</w:t>
      </w:r>
      <w:r w:rsidR="00081E0D" w:rsidRPr="00AA5BDA">
        <w:rPr>
          <w:sz w:val="24"/>
          <w:szCs w:val="24"/>
        </w:rPr>
        <w:t xml:space="preserve"> </w:t>
      </w:r>
      <w:r w:rsidR="000B0448" w:rsidRPr="00AA5BDA">
        <w:rPr>
          <w:sz w:val="24"/>
          <w:szCs w:val="24"/>
        </w:rPr>
        <w:t xml:space="preserve">or </w:t>
      </w:r>
      <w:r w:rsidR="00081E0D" w:rsidRPr="00AA5BDA">
        <w:rPr>
          <w:sz w:val="24"/>
          <w:szCs w:val="24"/>
        </w:rPr>
        <w:t xml:space="preserve">immediate </w:t>
      </w:r>
      <w:r w:rsidR="000B0448" w:rsidRPr="00AA5BDA">
        <w:rPr>
          <w:sz w:val="24"/>
          <w:szCs w:val="24"/>
        </w:rPr>
        <w:t>family</w:t>
      </w:r>
      <w:r w:rsidR="00081E0D" w:rsidRPr="00AA5BDA">
        <w:rPr>
          <w:sz w:val="24"/>
          <w:szCs w:val="24"/>
        </w:rPr>
        <w:t xml:space="preserve"> (provided that they agree to keep the information </w:t>
      </w:r>
      <w:r w:rsidR="000B0448" w:rsidRPr="00AA5BDA">
        <w:rPr>
          <w:sz w:val="24"/>
          <w:szCs w:val="24"/>
        </w:rPr>
        <w:t>confidential</w:t>
      </w:r>
      <w:r w:rsidR="00081E0D" w:rsidRPr="00AA5BDA">
        <w:rPr>
          <w:sz w:val="24"/>
          <w:szCs w:val="24"/>
        </w:rPr>
        <w:t>)</w:t>
      </w:r>
      <w:r w:rsidR="000B0448" w:rsidRPr="00AA5BDA">
        <w:rPr>
          <w:sz w:val="24"/>
          <w:szCs w:val="24"/>
        </w:rPr>
        <w:t>.</w:t>
      </w:r>
    </w:p>
    <w:p w14:paraId="0DEEB663" w14:textId="19D7ACD7" w:rsidR="00081E0D" w:rsidRPr="00AA5BDA" w:rsidRDefault="00081E0D" w:rsidP="00AA5BDA">
      <w:pPr>
        <w:pStyle w:val="Style1"/>
        <w:jc w:val="both"/>
        <w:rPr>
          <w:sz w:val="24"/>
          <w:szCs w:val="24"/>
        </w:rPr>
      </w:pPr>
    </w:p>
    <w:p w14:paraId="020E626A" w14:textId="4518F848" w:rsidR="00081E0D" w:rsidRPr="00AA5BDA" w:rsidRDefault="00BE243A" w:rsidP="00A121F3">
      <w:pPr>
        <w:pStyle w:val="Style1"/>
        <w:ind w:left="426" w:hanging="426"/>
        <w:jc w:val="both"/>
        <w:rPr>
          <w:sz w:val="24"/>
          <w:szCs w:val="24"/>
        </w:rPr>
      </w:pPr>
      <w:r>
        <w:rPr>
          <w:sz w:val="24"/>
          <w:szCs w:val="24"/>
        </w:rPr>
        <w:lastRenderedPageBreak/>
        <w:t>1</w:t>
      </w:r>
      <w:r w:rsidR="00ED19C6">
        <w:rPr>
          <w:sz w:val="24"/>
          <w:szCs w:val="24"/>
        </w:rPr>
        <w:t>3</w:t>
      </w:r>
      <w:r>
        <w:rPr>
          <w:sz w:val="24"/>
          <w:szCs w:val="24"/>
        </w:rPr>
        <w:t xml:space="preserve">. </w:t>
      </w:r>
      <w:r w:rsidR="00B51EA4">
        <w:rPr>
          <w:sz w:val="24"/>
          <w:szCs w:val="24"/>
        </w:rPr>
        <w:t xml:space="preserve"> </w:t>
      </w:r>
      <w:r w:rsidR="000B0448" w:rsidRPr="00AA5BDA">
        <w:rPr>
          <w:sz w:val="24"/>
          <w:szCs w:val="24"/>
        </w:rPr>
        <w:t xml:space="preserve">The </w:t>
      </w:r>
      <w:r w:rsidR="00E946AC" w:rsidRPr="00AA5BDA">
        <w:rPr>
          <w:sz w:val="24"/>
          <w:szCs w:val="24"/>
        </w:rPr>
        <w:t>Employee</w:t>
      </w:r>
      <w:r w:rsidR="000B0448" w:rsidRPr="00AA5BDA">
        <w:rPr>
          <w:sz w:val="24"/>
          <w:szCs w:val="24"/>
        </w:rPr>
        <w:t xml:space="preserve"> </w:t>
      </w:r>
      <w:r w:rsidR="0024356B" w:rsidRPr="00AA5BDA">
        <w:rPr>
          <w:sz w:val="24"/>
          <w:szCs w:val="24"/>
        </w:rPr>
        <w:t xml:space="preserve">and Respondent </w:t>
      </w:r>
      <w:r w:rsidR="000B0448" w:rsidRPr="00AA5BDA">
        <w:rPr>
          <w:sz w:val="24"/>
          <w:szCs w:val="24"/>
        </w:rPr>
        <w:t>will continue to comply with their obligations (both express and implied) under their contract of employment</w:t>
      </w:r>
    </w:p>
    <w:p w14:paraId="0A31DE2A" w14:textId="3624A6C2" w:rsidR="00AB0914" w:rsidRPr="00AA5BDA" w:rsidRDefault="00AB0914" w:rsidP="00AA5BDA">
      <w:pPr>
        <w:pStyle w:val="Style1"/>
        <w:jc w:val="both"/>
        <w:rPr>
          <w:sz w:val="24"/>
          <w:szCs w:val="24"/>
        </w:rPr>
      </w:pPr>
    </w:p>
    <w:p w14:paraId="371E2E7A" w14:textId="10E43241" w:rsidR="00AB0914" w:rsidRPr="00AA5BDA" w:rsidRDefault="00AB4607" w:rsidP="00A121F3">
      <w:pPr>
        <w:pStyle w:val="Style1"/>
        <w:ind w:left="426" w:hanging="426"/>
        <w:jc w:val="both"/>
        <w:rPr>
          <w:sz w:val="24"/>
          <w:szCs w:val="24"/>
        </w:rPr>
      </w:pPr>
      <w:r w:rsidRPr="00AA5BDA">
        <w:rPr>
          <w:sz w:val="24"/>
          <w:szCs w:val="24"/>
        </w:rPr>
        <w:t>1</w:t>
      </w:r>
      <w:r w:rsidR="00ED19C6">
        <w:rPr>
          <w:sz w:val="24"/>
          <w:szCs w:val="24"/>
        </w:rPr>
        <w:t>4</w:t>
      </w:r>
      <w:r w:rsidR="00415CC0">
        <w:rPr>
          <w:sz w:val="24"/>
          <w:szCs w:val="24"/>
        </w:rPr>
        <w:t>.</w:t>
      </w:r>
      <w:r w:rsidR="00281D2A" w:rsidRPr="00AA5BDA">
        <w:rPr>
          <w:sz w:val="24"/>
          <w:szCs w:val="24"/>
        </w:rPr>
        <w:tab/>
      </w:r>
      <w:r w:rsidR="00AB0914" w:rsidRPr="00AA5BDA">
        <w:rPr>
          <w:sz w:val="24"/>
          <w:szCs w:val="24"/>
        </w:rPr>
        <w:t xml:space="preserve">The </w:t>
      </w:r>
      <w:r w:rsidR="00E946AC" w:rsidRPr="00AA5BDA">
        <w:rPr>
          <w:sz w:val="24"/>
          <w:szCs w:val="24"/>
        </w:rPr>
        <w:t>Employee</w:t>
      </w:r>
      <w:r w:rsidR="00AB0914" w:rsidRPr="00AA5BDA">
        <w:rPr>
          <w:sz w:val="24"/>
          <w:szCs w:val="24"/>
        </w:rPr>
        <w:t xml:space="preserve"> wi</w:t>
      </w:r>
      <w:r w:rsidR="007E7F82" w:rsidRPr="00AA5BDA">
        <w:rPr>
          <w:sz w:val="24"/>
          <w:szCs w:val="24"/>
        </w:rPr>
        <w:t>l</w:t>
      </w:r>
      <w:r w:rsidR="00AB0914" w:rsidRPr="00AA5BDA">
        <w:rPr>
          <w:sz w:val="24"/>
          <w:szCs w:val="24"/>
        </w:rPr>
        <w:t>l not be prevented for making a pro</w:t>
      </w:r>
      <w:r w:rsidR="007E7F82" w:rsidRPr="00AA5BDA">
        <w:rPr>
          <w:sz w:val="24"/>
          <w:szCs w:val="24"/>
        </w:rPr>
        <w:t>tected</w:t>
      </w:r>
      <w:r w:rsidR="00AB0914" w:rsidRPr="00AA5BDA">
        <w:rPr>
          <w:sz w:val="24"/>
          <w:szCs w:val="24"/>
        </w:rPr>
        <w:t xml:space="preserve"> </w:t>
      </w:r>
      <w:r w:rsidR="007E7F82" w:rsidRPr="00AA5BDA">
        <w:rPr>
          <w:sz w:val="24"/>
          <w:szCs w:val="24"/>
        </w:rPr>
        <w:t>disclosure under</w:t>
      </w:r>
      <w:r w:rsidR="00AB0914" w:rsidRPr="00AA5BDA">
        <w:rPr>
          <w:sz w:val="24"/>
          <w:szCs w:val="24"/>
        </w:rPr>
        <w:t xml:space="preserve"> </w:t>
      </w:r>
      <w:r w:rsidR="0024356B" w:rsidRPr="00AA5BDA">
        <w:rPr>
          <w:sz w:val="24"/>
          <w:szCs w:val="24"/>
        </w:rPr>
        <w:t>Part IVA</w:t>
      </w:r>
      <w:r w:rsidR="00AB0914" w:rsidRPr="00AA5BDA">
        <w:rPr>
          <w:sz w:val="24"/>
          <w:szCs w:val="24"/>
        </w:rPr>
        <w:t xml:space="preserve"> of the </w:t>
      </w:r>
      <w:r w:rsidR="007E7F82" w:rsidRPr="00AA5BDA">
        <w:rPr>
          <w:sz w:val="24"/>
          <w:szCs w:val="24"/>
        </w:rPr>
        <w:t>Employment</w:t>
      </w:r>
      <w:r w:rsidR="00AB0914" w:rsidRPr="00AA5BDA">
        <w:rPr>
          <w:sz w:val="24"/>
          <w:szCs w:val="24"/>
        </w:rPr>
        <w:t xml:space="preserve"> Rights Act 1996, making a </w:t>
      </w:r>
      <w:r w:rsidR="007E7F82" w:rsidRPr="00AA5BDA">
        <w:rPr>
          <w:sz w:val="24"/>
          <w:szCs w:val="24"/>
        </w:rPr>
        <w:t>disclosure</w:t>
      </w:r>
      <w:r w:rsidR="00AB0914" w:rsidRPr="00AA5BDA">
        <w:rPr>
          <w:sz w:val="24"/>
          <w:szCs w:val="24"/>
        </w:rPr>
        <w:t xml:space="preserve"> to any </w:t>
      </w:r>
      <w:r w:rsidR="007E7F82" w:rsidRPr="00AA5BDA">
        <w:rPr>
          <w:sz w:val="24"/>
          <w:szCs w:val="24"/>
        </w:rPr>
        <w:t>regulator</w:t>
      </w:r>
      <w:r w:rsidR="00AB0914" w:rsidRPr="00AA5BDA">
        <w:rPr>
          <w:sz w:val="24"/>
          <w:szCs w:val="24"/>
        </w:rPr>
        <w:t xml:space="preserve"> regarding any malpractice</w:t>
      </w:r>
      <w:r w:rsidR="004663C2" w:rsidRPr="00AA5BDA">
        <w:rPr>
          <w:sz w:val="24"/>
          <w:szCs w:val="24"/>
        </w:rPr>
        <w:t xml:space="preserve">, reporting a </w:t>
      </w:r>
      <w:r w:rsidR="007E7F82" w:rsidRPr="00AA5BDA">
        <w:rPr>
          <w:sz w:val="24"/>
          <w:szCs w:val="24"/>
        </w:rPr>
        <w:t>criminal</w:t>
      </w:r>
      <w:r w:rsidR="004663C2" w:rsidRPr="00AA5BDA">
        <w:rPr>
          <w:sz w:val="24"/>
          <w:szCs w:val="24"/>
        </w:rPr>
        <w:t xml:space="preserve"> offence to any law </w:t>
      </w:r>
      <w:r w:rsidR="007E7F82" w:rsidRPr="00AA5BDA">
        <w:rPr>
          <w:sz w:val="24"/>
          <w:szCs w:val="24"/>
        </w:rPr>
        <w:t>enforcement</w:t>
      </w:r>
      <w:r w:rsidR="004663C2" w:rsidRPr="00AA5BDA">
        <w:rPr>
          <w:sz w:val="24"/>
          <w:szCs w:val="24"/>
        </w:rPr>
        <w:t xml:space="preserve"> agency or assisting with a criminal investigation of </w:t>
      </w:r>
      <w:r w:rsidR="007E7F82" w:rsidRPr="00AA5BDA">
        <w:rPr>
          <w:sz w:val="24"/>
          <w:szCs w:val="24"/>
        </w:rPr>
        <w:t>prosecution</w:t>
      </w:r>
      <w:r w:rsidR="004663C2" w:rsidRPr="00AA5BDA">
        <w:rPr>
          <w:sz w:val="24"/>
          <w:szCs w:val="24"/>
        </w:rPr>
        <w:t xml:space="preserve">. </w:t>
      </w:r>
    </w:p>
    <w:p w14:paraId="11B2AB35" w14:textId="77777777" w:rsidR="00C01736" w:rsidRPr="00AA5BDA" w:rsidRDefault="00C01736" w:rsidP="00A55E5D">
      <w:pPr>
        <w:rPr>
          <w:rFonts w:ascii="Arial" w:hAnsi="Arial" w:cs="Arial"/>
          <w:color w:val="000000" w:themeColor="text1"/>
          <w:sz w:val="24"/>
          <w:szCs w:val="24"/>
        </w:rPr>
      </w:pPr>
    </w:p>
    <w:p w14:paraId="27AB9D95" w14:textId="77777777" w:rsidR="003825A4" w:rsidRDefault="003825A4" w:rsidP="007E7F82">
      <w:pPr>
        <w:pStyle w:val="Style1"/>
        <w:rPr>
          <w:sz w:val="24"/>
          <w:szCs w:val="24"/>
        </w:rPr>
      </w:pPr>
    </w:p>
    <w:p w14:paraId="279FC430" w14:textId="77777777" w:rsidR="003825A4" w:rsidRDefault="003825A4" w:rsidP="007E7F82">
      <w:pPr>
        <w:pStyle w:val="Style1"/>
        <w:rPr>
          <w:sz w:val="24"/>
          <w:szCs w:val="24"/>
        </w:rPr>
      </w:pPr>
    </w:p>
    <w:p w14:paraId="32B40BAE" w14:textId="77777777" w:rsidR="003825A4" w:rsidRDefault="003825A4" w:rsidP="007E7F82">
      <w:pPr>
        <w:pStyle w:val="Style1"/>
        <w:rPr>
          <w:sz w:val="24"/>
          <w:szCs w:val="24"/>
        </w:rPr>
      </w:pPr>
    </w:p>
    <w:p w14:paraId="2D24DFB1" w14:textId="77777777" w:rsidR="003825A4" w:rsidRDefault="003825A4" w:rsidP="007E7F82">
      <w:pPr>
        <w:pStyle w:val="Style1"/>
        <w:rPr>
          <w:sz w:val="24"/>
          <w:szCs w:val="24"/>
        </w:rPr>
      </w:pPr>
    </w:p>
    <w:p w14:paraId="12C5CCA2" w14:textId="4030D9EB" w:rsidR="0024356B" w:rsidRDefault="00D117C2" w:rsidP="007E7F82">
      <w:pPr>
        <w:pStyle w:val="Style1"/>
        <w:rPr>
          <w:sz w:val="24"/>
          <w:szCs w:val="24"/>
        </w:rPr>
      </w:pPr>
      <w:r w:rsidRPr="00AA5BDA">
        <w:rPr>
          <w:sz w:val="24"/>
          <w:szCs w:val="24"/>
        </w:rPr>
        <w:t xml:space="preserve">To be agreed </w:t>
      </w:r>
      <w:r w:rsidR="0024356B" w:rsidRPr="00AA5BDA">
        <w:rPr>
          <w:sz w:val="24"/>
          <w:szCs w:val="24"/>
        </w:rPr>
        <w:t xml:space="preserve">by </w:t>
      </w:r>
      <w:r w:rsidR="00E946AC" w:rsidRPr="00AA5BDA">
        <w:rPr>
          <w:sz w:val="24"/>
          <w:szCs w:val="24"/>
        </w:rPr>
        <w:t>Employee</w:t>
      </w:r>
      <w:r w:rsidRPr="00AA5BDA">
        <w:rPr>
          <w:sz w:val="24"/>
          <w:szCs w:val="24"/>
        </w:rPr>
        <w:t xml:space="preserve"> </w:t>
      </w:r>
      <w:r w:rsidR="000C0774" w:rsidRPr="00AA5BDA">
        <w:rPr>
          <w:sz w:val="24"/>
          <w:szCs w:val="24"/>
        </w:rPr>
        <w:t>via online means</w:t>
      </w:r>
      <w:r w:rsidR="008E0BF1" w:rsidRPr="00AA5BDA">
        <w:rPr>
          <w:sz w:val="24"/>
          <w:szCs w:val="24"/>
        </w:rPr>
        <w:t xml:space="preserve"> provided by ACAS</w:t>
      </w:r>
    </w:p>
    <w:p w14:paraId="03CF825D" w14:textId="4AC8CCA0" w:rsidR="003825A4" w:rsidRDefault="003825A4" w:rsidP="007E7F82">
      <w:pPr>
        <w:pStyle w:val="Style1"/>
        <w:rPr>
          <w:sz w:val="24"/>
          <w:szCs w:val="24"/>
        </w:rPr>
      </w:pPr>
    </w:p>
    <w:p w14:paraId="145F01BA" w14:textId="1BD1E9C1" w:rsidR="003825A4" w:rsidRDefault="003825A4" w:rsidP="007E7F82">
      <w:pPr>
        <w:pStyle w:val="Style1"/>
        <w:rPr>
          <w:sz w:val="24"/>
          <w:szCs w:val="24"/>
        </w:rPr>
      </w:pPr>
    </w:p>
    <w:p w14:paraId="5F0158E5" w14:textId="45FDC697" w:rsidR="003825A4" w:rsidRDefault="003825A4" w:rsidP="007E7F82">
      <w:pPr>
        <w:pStyle w:val="Style1"/>
        <w:rPr>
          <w:sz w:val="24"/>
          <w:szCs w:val="24"/>
        </w:rPr>
      </w:pPr>
      <w:r>
        <w:rPr>
          <w:sz w:val="24"/>
          <w:szCs w:val="24"/>
        </w:rPr>
        <w:t>Signed by Employee</w:t>
      </w:r>
    </w:p>
    <w:p w14:paraId="33B86ADE" w14:textId="5C2928A6" w:rsidR="003825A4" w:rsidRDefault="003825A4" w:rsidP="007E7F82">
      <w:pPr>
        <w:pStyle w:val="Style1"/>
        <w:rPr>
          <w:sz w:val="24"/>
          <w:szCs w:val="24"/>
        </w:rPr>
      </w:pPr>
      <w:r>
        <w:rPr>
          <w:sz w:val="24"/>
          <w:szCs w:val="24"/>
        </w:rPr>
        <w:t xml:space="preserve">Dated: </w:t>
      </w:r>
    </w:p>
    <w:p w14:paraId="0A27ABD5" w14:textId="2EF7B910" w:rsidR="00AA5BDA" w:rsidRDefault="00AA5BDA" w:rsidP="007E7F82">
      <w:pPr>
        <w:pStyle w:val="Style1"/>
        <w:rPr>
          <w:sz w:val="24"/>
          <w:szCs w:val="24"/>
        </w:rPr>
      </w:pPr>
    </w:p>
    <w:p w14:paraId="70835481" w14:textId="204B3217" w:rsidR="00AA5BDA" w:rsidRDefault="00AA5BDA" w:rsidP="007E7F82">
      <w:pPr>
        <w:pStyle w:val="Style1"/>
        <w:rPr>
          <w:sz w:val="24"/>
          <w:szCs w:val="24"/>
        </w:rPr>
      </w:pPr>
      <w:r>
        <w:rPr>
          <w:sz w:val="24"/>
          <w:szCs w:val="24"/>
        </w:rPr>
        <w:t>Signed by Respondent:</w:t>
      </w:r>
    </w:p>
    <w:p w14:paraId="5F4FEFC8" w14:textId="0F88BB4B" w:rsidR="00AA5BDA" w:rsidRDefault="00AA5BDA" w:rsidP="007E7F82">
      <w:pPr>
        <w:pStyle w:val="Style1"/>
        <w:rPr>
          <w:sz w:val="24"/>
          <w:szCs w:val="24"/>
        </w:rPr>
      </w:pPr>
      <w:r>
        <w:rPr>
          <w:sz w:val="24"/>
          <w:szCs w:val="24"/>
        </w:rPr>
        <w:t>Mark Hynes, Director of Governance and Law</w:t>
      </w:r>
    </w:p>
    <w:p w14:paraId="0B85D815" w14:textId="28BF5B12" w:rsidR="00AA5BDA" w:rsidRDefault="00AA5BDA" w:rsidP="007E7F82">
      <w:pPr>
        <w:pStyle w:val="Style1"/>
        <w:rPr>
          <w:sz w:val="24"/>
          <w:szCs w:val="24"/>
        </w:rPr>
      </w:pPr>
    </w:p>
    <w:p w14:paraId="50159948" w14:textId="1A71F185" w:rsidR="00AA5BDA" w:rsidRDefault="00AA5BDA" w:rsidP="007E7F82">
      <w:pPr>
        <w:pStyle w:val="Style1"/>
        <w:rPr>
          <w:sz w:val="24"/>
          <w:szCs w:val="24"/>
        </w:rPr>
      </w:pPr>
      <w:r>
        <w:rPr>
          <w:sz w:val="24"/>
          <w:szCs w:val="24"/>
        </w:rPr>
        <w:t xml:space="preserve">Dated: </w:t>
      </w:r>
    </w:p>
    <w:p w14:paraId="7F57E405" w14:textId="69D39990" w:rsidR="00AA5BDA" w:rsidRDefault="00AA5BDA" w:rsidP="007E7F82">
      <w:pPr>
        <w:pStyle w:val="Style1"/>
        <w:rPr>
          <w:sz w:val="24"/>
          <w:szCs w:val="24"/>
        </w:rPr>
      </w:pPr>
    </w:p>
    <w:p w14:paraId="75B70BFD" w14:textId="0A53F195" w:rsidR="00AA5BDA" w:rsidRDefault="00AA5BDA" w:rsidP="007E7F82">
      <w:pPr>
        <w:pStyle w:val="Style1"/>
        <w:rPr>
          <w:sz w:val="24"/>
          <w:szCs w:val="24"/>
        </w:rPr>
      </w:pPr>
    </w:p>
    <w:p w14:paraId="5167A098" w14:textId="77777777" w:rsidR="00AA5BDA" w:rsidRPr="00AA5BDA" w:rsidRDefault="00AA5BDA" w:rsidP="007E7F82">
      <w:pPr>
        <w:pStyle w:val="Style1"/>
        <w:rPr>
          <w:sz w:val="24"/>
          <w:szCs w:val="24"/>
        </w:rPr>
      </w:pPr>
    </w:p>
    <w:p w14:paraId="35669F21" w14:textId="77777777" w:rsidR="000B0448" w:rsidRPr="00AA5BDA" w:rsidRDefault="000B0448" w:rsidP="007E7F82">
      <w:pPr>
        <w:pStyle w:val="Style1"/>
        <w:rPr>
          <w:sz w:val="24"/>
          <w:szCs w:val="24"/>
        </w:rPr>
      </w:pPr>
    </w:p>
    <w:p w14:paraId="1C4EABC9" w14:textId="77777777" w:rsidR="00F30673" w:rsidRPr="00AA5BDA" w:rsidRDefault="00F30673" w:rsidP="007E7F82">
      <w:pPr>
        <w:pStyle w:val="Style1"/>
        <w:rPr>
          <w:sz w:val="24"/>
          <w:szCs w:val="24"/>
        </w:rPr>
      </w:pPr>
    </w:p>
    <w:p w14:paraId="12A9DF4C" w14:textId="57FDDA5B" w:rsidR="00E83547" w:rsidRPr="00AA5BDA" w:rsidRDefault="00E83547" w:rsidP="00E83547">
      <w:pPr>
        <w:rPr>
          <w:rFonts w:ascii="Arial" w:hAnsi="Arial" w:cs="Arial"/>
          <w:color w:val="000000" w:themeColor="text1"/>
          <w:sz w:val="24"/>
          <w:szCs w:val="24"/>
        </w:rPr>
      </w:pPr>
    </w:p>
    <w:sectPr w:rsidR="00E83547" w:rsidRPr="00AA5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60D1"/>
    <w:multiLevelType w:val="hybridMultilevel"/>
    <w:tmpl w:val="53A4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A22C0"/>
    <w:multiLevelType w:val="hybridMultilevel"/>
    <w:tmpl w:val="D64807EC"/>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2" w15:restartNumberingAfterBreak="0">
    <w:nsid w:val="23703725"/>
    <w:multiLevelType w:val="hybridMultilevel"/>
    <w:tmpl w:val="CBC0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A5B85"/>
    <w:multiLevelType w:val="hybridMultilevel"/>
    <w:tmpl w:val="B94A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61A6F"/>
    <w:multiLevelType w:val="hybridMultilevel"/>
    <w:tmpl w:val="152A58E4"/>
    <w:lvl w:ilvl="0" w:tplc="A5DA21CC">
      <w:start w:val="9"/>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5" w15:restartNumberingAfterBreak="0">
    <w:nsid w:val="2A960A23"/>
    <w:multiLevelType w:val="hybridMultilevel"/>
    <w:tmpl w:val="12D00AF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E8C6E20"/>
    <w:multiLevelType w:val="hybridMultilevel"/>
    <w:tmpl w:val="EBF83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10DC1"/>
    <w:multiLevelType w:val="hybridMultilevel"/>
    <w:tmpl w:val="F4388BE4"/>
    <w:lvl w:ilvl="0" w:tplc="0E1A3C76">
      <w:start w:val="10"/>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8" w15:restartNumberingAfterBreak="0">
    <w:nsid w:val="3FB42522"/>
    <w:multiLevelType w:val="hybridMultilevel"/>
    <w:tmpl w:val="60622E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B14E64"/>
    <w:multiLevelType w:val="hybridMultilevel"/>
    <w:tmpl w:val="12EE78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9B315CA"/>
    <w:multiLevelType w:val="hybridMultilevel"/>
    <w:tmpl w:val="11C05F3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21108B"/>
    <w:multiLevelType w:val="hybridMultilevel"/>
    <w:tmpl w:val="9324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6947D5"/>
    <w:multiLevelType w:val="hybridMultilevel"/>
    <w:tmpl w:val="119005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C22DDA"/>
    <w:multiLevelType w:val="hybridMultilevel"/>
    <w:tmpl w:val="C378611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367BD6"/>
    <w:multiLevelType w:val="multilevel"/>
    <w:tmpl w:val="788E84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3144E0B"/>
    <w:multiLevelType w:val="hybridMultilevel"/>
    <w:tmpl w:val="44CEE626"/>
    <w:lvl w:ilvl="0" w:tplc="08090001">
      <w:start w:val="1"/>
      <w:numFmt w:val="bullet"/>
      <w:lvlText w:val=""/>
      <w:lvlJc w:val="left"/>
      <w:pPr>
        <w:ind w:left="720" w:hanging="360"/>
      </w:pPr>
      <w:rPr>
        <w:rFonts w:ascii="Symbol" w:hAnsi="Symbol" w:hint="default"/>
      </w:rPr>
    </w:lvl>
    <w:lvl w:ilvl="1" w:tplc="D7682DB2">
      <w:numFmt w:val="bullet"/>
      <w:lvlText w:val="•"/>
      <w:lvlJc w:val="left"/>
      <w:pPr>
        <w:ind w:left="1460" w:hanging="380"/>
      </w:pPr>
      <w:rPr>
        <w:rFonts w:ascii="Times New Roman" w:eastAsia="Arial"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165714"/>
    <w:multiLevelType w:val="hybridMultilevel"/>
    <w:tmpl w:val="3214A48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991361"/>
    <w:multiLevelType w:val="hybridMultilevel"/>
    <w:tmpl w:val="4A34041C"/>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num w:numId="1" w16cid:durableId="398672238">
    <w:abstractNumId w:val="1"/>
  </w:num>
  <w:num w:numId="2" w16cid:durableId="1729920069">
    <w:abstractNumId w:val="9"/>
  </w:num>
  <w:num w:numId="3" w16cid:durableId="1343513465">
    <w:abstractNumId w:val="8"/>
  </w:num>
  <w:num w:numId="4" w16cid:durableId="1221789432">
    <w:abstractNumId w:val="11"/>
  </w:num>
  <w:num w:numId="5" w16cid:durableId="1970553544">
    <w:abstractNumId w:val="16"/>
  </w:num>
  <w:num w:numId="6" w16cid:durableId="1404330111">
    <w:abstractNumId w:val="15"/>
  </w:num>
  <w:num w:numId="7" w16cid:durableId="1841844422">
    <w:abstractNumId w:val="0"/>
  </w:num>
  <w:num w:numId="8" w16cid:durableId="765031639">
    <w:abstractNumId w:val="2"/>
  </w:num>
  <w:num w:numId="9" w16cid:durableId="1935743661">
    <w:abstractNumId w:val="6"/>
  </w:num>
  <w:num w:numId="10" w16cid:durableId="235944505">
    <w:abstractNumId w:val="3"/>
  </w:num>
  <w:num w:numId="11" w16cid:durableId="1858541859">
    <w:abstractNumId w:val="14"/>
  </w:num>
  <w:num w:numId="12" w16cid:durableId="708073559">
    <w:abstractNumId w:val="17"/>
  </w:num>
  <w:num w:numId="13" w16cid:durableId="1841774571">
    <w:abstractNumId w:val="10"/>
  </w:num>
  <w:num w:numId="14" w16cid:durableId="131363823">
    <w:abstractNumId w:val="5"/>
  </w:num>
  <w:num w:numId="15" w16cid:durableId="875626936">
    <w:abstractNumId w:val="12"/>
  </w:num>
  <w:num w:numId="16" w16cid:durableId="884290816">
    <w:abstractNumId w:val="13"/>
  </w:num>
  <w:num w:numId="17" w16cid:durableId="945579831">
    <w:abstractNumId w:val="4"/>
  </w:num>
  <w:num w:numId="18" w16cid:durableId="342900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36"/>
    <w:rsid w:val="00014489"/>
    <w:rsid w:val="00024723"/>
    <w:rsid w:val="00057ABD"/>
    <w:rsid w:val="00074ACB"/>
    <w:rsid w:val="00081E0D"/>
    <w:rsid w:val="000B0448"/>
    <w:rsid w:val="000C0774"/>
    <w:rsid w:val="000E59D6"/>
    <w:rsid w:val="000F59B4"/>
    <w:rsid w:val="00125103"/>
    <w:rsid w:val="00164426"/>
    <w:rsid w:val="00186AD4"/>
    <w:rsid w:val="001A0855"/>
    <w:rsid w:val="001C3441"/>
    <w:rsid w:val="0024356B"/>
    <w:rsid w:val="002439C7"/>
    <w:rsid w:val="0026640E"/>
    <w:rsid w:val="002719CB"/>
    <w:rsid w:val="00281D2A"/>
    <w:rsid w:val="002B227A"/>
    <w:rsid w:val="002B50D2"/>
    <w:rsid w:val="002C6961"/>
    <w:rsid w:val="00310486"/>
    <w:rsid w:val="0031312E"/>
    <w:rsid w:val="0034402C"/>
    <w:rsid w:val="0034442C"/>
    <w:rsid w:val="00351641"/>
    <w:rsid w:val="003730B6"/>
    <w:rsid w:val="003825A4"/>
    <w:rsid w:val="003915D9"/>
    <w:rsid w:val="00392D7B"/>
    <w:rsid w:val="003A4672"/>
    <w:rsid w:val="003A6A5E"/>
    <w:rsid w:val="003B1D38"/>
    <w:rsid w:val="003B7711"/>
    <w:rsid w:val="003C39E7"/>
    <w:rsid w:val="003D13A8"/>
    <w:rsid w:val="003D2C13"/>
    <w:rsid w:val="003E35CC"/>
    <w:rsid w:val="00414496"/>
    <w:rsid w:val="00415CC0"/>
    <w:rsid w:val="0043778C"/>
    <w:rsid w:val="004663C2"/>
    <w:rsid w:val="004800F1"/>
    <w:rsid w:val="00491E42"/>
    <w:rsid w:val="00496D7B"/>
    <w:rsid w:val="004A41ED"/>
    <w:rsid w:val="004C46DF"/>
    <w:rsid w:val="00520D67"/>
    <w:rsid w:val="005229C4"/>
    <w:rsid w:val="00527506"/>
    <w:rsid w:val="005668FE"/>
    <w:rsid w:val="005930E9"/>
    <w:rsid w:val="00597A43"/>
    <w:rsid w:val="0060640E"/>
    <w:rsid w:val="00613AA0"/>
    <w:rsid w:val="006164FD"/>
    <w:rsid w:val="00652C69"/>
    <w:rsid w:val="006B01B2"/>
    <w:rsid w:val="006B2674"/>
    <w:rsid w:val="006B2C24"/>
    <w:rsid w:val="006D5BBA"/>
    <w:rsid w:val="007232BA"/>
    <w:rsid w:val="007375C5"/>
    <w:rsid w:val="0076345A"/>
    <w:rsid w:val="00765B64"/>
    <w:rsid w:val="00795A3F"/>
    <w:rsid w:val="007975D7"/>
    <w:rsid w:val="007C0AB4"/>
    <w:rsid w:val="007D287C"/>
    <w:rsid w:val="007E52FF"/>
    <w:rsid w:val="007E7F82"/>
    <w:rsid w:val="00813BE4"/>
    <w:rsid w:val="008161C1"/>
    <w:rsid w:val="00833DD0"/>
    <w:rsid w:val="0088328B"/>
    <w:rsid w:val="008B7C51"/>
    <w:rsid w:val="008C3F2C"/>
    <w:rsid w:val="008E0BF1"/>
    <w:rsid w:val="008E3078"/>
    <w:rsid w:val="008F611C"/>
    <w:rsid w:val="00900175"/>
    <w:rsid w:val="00907275"/>
    <w:rsid w:val="00925404"/>
    <w:rsid w:val="009408AE"/>
    <w:rsid w:val="00940F24"/>
    <w:rsid w:val="00984538"/>
    <w:rsid w:val="00991753"/>
    <w:rsid w:val="009932ED"/>
    <w:rsid w:val="00995889"/>
    <w:rsid w:val="00A121F3"/>
    <w:rsid w:val="00A126E3"/>
    <w:rsid w:val="00A55E5D"/>
    <w:rsid w:val="00A96130"/>
    <w:rsid w:val="00AA5BDA"/>
    <w:rsid w:val="00AB0914"/>
    <w:rsid w:val="00AB4607"/>
    <w:rsid w:val="00AC0C18"/>
    <w:rsid w:val="00AD6AFA"/>
    <w:rsid w:val="00AF24AA"/>
    <w:rsid w:val="00B0312C"/>
    <w:rsid w:val="00B15776"/>
    <w:rsid w:val="00B51EA4"/>
    <w:rsid w:val="00B52484"/>
    <w:rsid w:val="00B55342"/>
    <w:rsid w:val="00B74533"/>
    <w:rsid w:val="00B90C85"/>
    <w:rsid w:val="00BA3500"/>
    <w:rsid w:val="00BE243A"/>
    <w:rsid w:val="00BE7AC4"/>
    <w:rsid w:val="00BF02D4"/>
    <w:rsid w:val="00C01736"/>
    <w:rsid w:val="00C52AAB"/>
    <w:rsid w:val="00C66DFD"/>
    <w:rsid w:val="00CB62F0"/>
    <w:rsid w:val="00CD74EC"/>
    <w:rsid w:val="00CF6FAB"/>
    <w:rsid w:val="00D028F9"/>
    <w:rsid w:val="00D11079"/>
    <w:rsid w:val="00D117C2"/>
    <w:rsid w:val="00D37C33"/>
    <w:rsid w:val="00D60557"/>
    <w:rsid w:val="00D77EB0"/>
    <w:rsid w:val="00D9652D"/>
    <w:rsid w:val="00DD4EB2"/>
    <w:rsid w:val="00DD7B3A"/>
    <w:rsid w:val="00DF0BB7"/>
    <w:rsid w:val="00DF5C23"/>
    <w:rsid w:val="00E05565"/>
    <w:rsid w:val="00E2420B"/>
    <w:rsid w:val="00E27140"/>
    <w:rsid w:val="00E27923"/>
    <w:rsid w:val="00E31CEF"/>
    <w:rsid w:val="00E5667C"/>
    <w:rsid w:val="00E83547"/>
    <w:rsid w:val="00E946AC"/>
    <w:rsid w:val="00ED19C6"/>
    <w:rsid w:val="00F02C8B"/>
    <w:rsid w:val="00F21AEB"/>
    <w:rsid w:val="00F26A84"/>
    <w:rsid w:val="00F30673"/>
    <w:rsid w:val="00F56E5F"/>
    <w:rsid w:val="00F57B46"/>
    <w:rsid w:val="00F851F9"/>
    <w:rsid w:val="00FA2556"/>
    <w:rsid w:val="00FB1465"/>
    <w:rsid w:val="00FF4E28"/>
    <w:rsid w:val="00FF7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4E4F"/>
  <w15:chartTrackingRefBased/>
  <w15:docId w15:val="{D6311EB0-F351-4D2B-907C-E004C745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736"/>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736"/>
    <w:pPr>
      <w:ind w:left="720"/>
      <w:contextualSpacing/>
    </w:pPr>
  </w:style>
  <w:style w:type="paragraph" w:customStyle="1" w:styleId="Style1">
    <w:name w:val="Style1"/>
    <w:basedOn w:val="Normal"/>
    <w:qFormat/>
    <w:rsid w:val="000B0448"/>
    <w:rPr>
      <w:rFonts w:ascii="Arial" w:eastAsia="Arial" w:hAnsi="Arial" w:cs="Arial"/>
      <w:sz w:val="22"/>
      <w:szCs w:val="22"/>
    </w:rPr>
  </w:style>
  <w:style w:type="paragraph" w:styleId="BalloonText">
    <w:name w:val="Balloon Text"/>
    <w:basedOn w:val="Normal"/>
    <w:link w:val="BalloonTextChar"/>
    <w:uiPriority w:val="99"/>
    <w:semiHidden/>
    <w:unhideWhenUsed/>
    <w:rsid w:val="00652C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C69"/>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652C69"/>
    <w:rPr>
      <w:sz w:val="16"/>
      <w:szCs w:val="16"/>
    </w:rPr>
  </w:style>
  <w:style w:type="paragraph" w:styleId="CommentText">
    <w:name w:val="annotation text"/>
    <w:basedOn w:val="Normal"/>
    <w:link w:val="CommentTextChar"/>
    <w:uiPriority w:val="99"/>
    <w:semiHidden/>
    <w:unhideWhenUsed/>
    <w:rsid w:val="00652C69"/>
  </w:style>
  <w:style w:type="character" w:customStyle="1" w:styleId="CommentTextChar">
    <w:name w:val="Comment Text Char"/>
    <w:basedOn w:val="DefaultParagraphFont"/>
    <w:link w:val="CommentText"/>
    <w:uiPriority w:val="99"/>
    <w:semiHidden/>
    <w:rsid w:val="00652C6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52C69"/>
    <w:rPr>
      <w:b/>
      <w:bCs/>
    </w:rPr>
  </w:style>
  <w:style w:type="character" w:customStyle="1" w:styleId="CommentSubjectChar">
    <w:name w:val="Comment Subject Char"/>
    <w:basedOn w:val="CommentTextChar"/>
    <w:link w:val="CommentSubject"/>
    <w:uiPriority w:val="99"/>
    <w:semiHidden/>
    <w:rsid w:val="00652C69"/>
    <w:rPr>
      <w:rFonts w:ascii="Times New Roman" w:eastAsia="Times New Roman" w:hAnsi="Times New Roman" w:cs="Times New Roman"/>
      <w:b/>
      <w:bCs/>
      <w:sz w:val="20"/>
      <w:szCs w:val="20"/>
      <w:lang w:val="en-US"/>
    </w:rPr>
  </w:style>
  <w:style w:type="paragraph" w:styleId="Revision">
    <w:name w:val="Revision"/>
    <w:hidden/>
    <w:uiPriority w:val="99"/>
    <w:semiHidden/>
    <w:rsid w:val="003A6A5E"/>
    <w:pPr>
      <w:spacing w:after="0" w:line="240" w:lineRule="auto"/>
    </w:pPr>
    <w:rPr>
      <w:rFonts w:ascii="Times New Roman" w:eastAsia="Times New Roman" w:hAnsi="Times New Roman" w:cs="Times New Roman"/>
      <w:sz w:val="20"/>
      <w:szCs w:val="20"/>
      <w:lang w:val="en-US"/>
    </w:rPr>
  </w:style>
  <w:style w:type="character" w:customStyle="1" w:styleId="contentpasted0">
    <w:name w:val="contentpasted0"/>
    <w:basedOn w:val="DefaultParagraphFont"/>
    <w:rsid w:val="006B2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72830">
      <w:bodyDiv w:val="1"/>
      <w:marLeft w:val="0"/>
      <w:marRight w:val="0"/>
      <w:marTop w:val="0"/>
      <w:marBottom w:val="0"/>
      <w:divBdr>
        <w:top w:val="none" w:sz="0" w:space="0" w:color="auto"/>
        <w:left w:val="none" w:sz="0" w:space="0" w:color="auto"/>
        <w:bottom w:val="none" w:sz="0" w:space="0" w:color="auto"/>
        <w:right w:val="none" w:sz="0" w:space="0" w:color="auto"/>
      </w:divBdr>
    </w:div>
    <w:div w:id="1443181846">
      <w:bodyDiv w:val="1"/>
      <w:marLeft w:val="0"/>
      <w:marRight w:val="0"/>
      <w:marTop w:val="0"/>
      <w:marBottom w:val="0"/>
      <w:divBdr>
        <w:top w:val="none" w:sz="0" w:space="0" w:color="auto"/>
        <w:left w:val="none" w:sz="0" w:space="0" w:color="auto"/>
        <w:bottom w:val="none" w:sz="0" w:space="0" w:color="auto"/>
        <w:right w:val="none" w:sz="0" w:space="0" w:color="auto"/>
      </w:divBdr>
    </w:div>
    <w:div w:id="182296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D47DB38548C046B90EFDF140985153" ma:contentTypeVersion="12" ma:contentTypeDescription="Create a new document." ma:contentTypeScope="" ma:versionID="0ec416955a308d84d9f905763c1110ef">
  <xsd:schema xmlns:xsd="http://www.w3.org/2001/XMLSchema" xmlns:xs="http://www.w3.org/2001/XMLSchema" xmlns:p="http://schemas.microsoft.com/office/2006/metadata/properties" xmlns:ns3="4459f884-73a8-4341-8843-bfd15be51d26" xmlns:ns4="65fb5962-c33d-4aeb-9879-b67f632f0c0e" targetNamespace="http://schemas.microsoft.com/office/2006/metadata/properties" ma:root="true" ma:fieldsID="8da52c5b0cd1dd3631ce79b7e48daff4" ns3:_="" ns4:_="">
    <xsd:import namespace="4459f884-73a8-4341-8843-bfd15be51d26"/>
    <xsd:import namespace="65fb5962-c33d-4aeb-9879-b67f632f0c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9f884-73a8-4341-8843-bfd15be51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b5962-c33d-4aeb-9879-b67f632f0c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95A15-C9B0-4C17-B42A-589FE70B15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0E5E3D-1C98-4DCE-B837-DD523AEF14A1}">
  <ds:schemaRefs>
    <ds:schemaRef ds:uri="http://schemas.microsoft.com/sharepoint/v3/contenttype/forms"/>
  </ds:schemaRefs>
</ds:datastoreItem>
</file>

<file path=customXml/itemProps3.xml><?xml version="1.0" encoding="utf-8"?>
<ds:datastoreItem xmlns:ds="http://schemas.openxmlformats.org/officeDocument/2006/customXml" ds:itemID="{1E2AFDDE-3820-44FF-B056-B14869CEF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9f884-73a8-4341-8843-bfd15be51d26"/>
    <ds:schemaRef ds:uri="65fb5962-c33d-4aeb-9879-b67f632f0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52113F-74EF-47CC-B885-61656DBB3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5456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Sidwell</dc:creator>
  <cp:keywords/>
  <dc:description/>
  <cp:lastModifiedBy>Carlene Reid</cp:lastModifiedBy>
  <cp:revision>2</cp:revision>
  <dcterms:created xsi:type="dcterms:W3CDTF">2025-09-12T18:08:00Z</dcterms:created>
  <dcterms:modified xsi:type="dcterms:W3CDTF">2025-09-12T18:08:00Z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0x01010023D47DB38548C046B90EFDF140985153</vt:lpwstr>
  </property>
</Properties>
</file>