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D66C" w14:textId="3D5EB93D" w:rsidR="0072611A" w:rsidRDefault="0072611A" w:rsidP="00370BA9">
      <w:pPr>
        <w:jc w:val="center"/>
        <w:rPr>
          <w:rFonts w:ascii="Trebuchet MS" w:hAnsi="Trebuchet MS"/>
          <w:b/>
          <w:bCs/>
          <w:sz w:val="24"/>
          <w:szCs w:val="24"/>
          <w:u w:val="single"/>
        </w:rPr>
      </w:pPr>
      <w:r>
        <w:rPr>
          <w:rFonts w:ascii="Trebuchet MS" w:hAnsi="Trebuchet MS"/>
          <w:b/>
          <w:bCs/>
          <w:sz w:val="24"/>
          <w:szCs w:val="24"/>
          <w:u w:val="single"/>
        </w:rPr>
        <w:t xml:space="preserve">PREPARING FOR ADULTHOOD </w:t>
      </w:r>
    </w:p>
    <w:p w14:paraId="25B5CB36" w14:textId="1C8ED39C" w:rsidR="00370BA9" w:rsidRDefault="00370BA9" w:rsidP="00370BA9">
      <w:pPr>
        <w:jc w:val="center"/>
        <w:rPr>
          <w:rFonts w:ascii="Trebuchet MS" w:hAnsi="Trebuchet MS"/>
          <w:b/>
          <w:bCs/>
          <w:sz w:val="24"/>
          <w:szCs w:val="24"/>
          <w:u w:val="single"/>
        </w:rPr>
      </w:pPr>
      <w:r>
        <w:rPr>
          <w:rFonts w:ascii="Trebuchet MS" w:hAnsi="Trebuchet MS"/>
          <w:b/>
          <w:bCs/>
          <w:sz w:val="24"/>
          <w:szCs w:val="24"/>
          <w:u w:val="single"/>
        </w:rPr>
        <w:t xml:space="preserve">Guidelines for </w:t>
      </w:r>
      <w:r w:rsidRPr="00024823">
        <w:rPr>
          <w:rFonts w:ascii="Trebuchet MS" w:hAnsi="Trebuchet MS"/>
          <w:b/>
          <w:bCs/>
          <w:sz w:val="24"/>
          <w:szCs w:val="24"/>
          <w:u w:val="single"/>
        </w:rPr>
        <w:t xml:space="preserve">Year 9 Onwards Annual Review </w:t>
      </w:r>
    </w:p>
    <w:p w14:paraId="4A419F13" w14:textId="77777777" w:rsidR="00370BA9" w:rsidRDefault="00370BA9" w:rsidP="00370BA9">
      <w:pPr>
        <w:jc w:val="center"/>
        <w:rPr>
          <w:rFonts w:ascii="Trebuchet MS" w:hAnsi="Trebuchet MS"/>
          <w:b/>
          <w:bCs/>
          <w:sz w:val="24"/>
          <w:szCs w:val="24"/>
          <w:u w:val="single"/>
        </w:rPr>
      </w:pPr>
    </w:p>
    <w:p w14:paraId="2329831B" w14:textId="77777777" w:rsidR="00370BA9" w:rsidRPr="0072611A" w:rsidRDefault="00370BA9" w:rsidP="0072611A">
      <w:pPr>
        <w:jc w:val="both"/>
        <w:rPr>
          <w:rFonts w:cstheme="minorHAnsi"/>
          <w:b/>
          <w:bCs/>
          <w:sz w:val="24"/>
          <w:szCs w:val="24"/>
          <w:u w:val="single"/>
        </w:rPr>
      </w:pPr>
      <w:r w:rsidRPr="0072611A">
        <w:rPr>
          <w:rFonts w:cstheme="minorHAnsi"/>
          <w:b/>
          <w:bCs/>
          <w:sz w:val="24"/>
          <w:szCs w:val="24"/>
          <w:u w:val="single"/>
        </w:rPr>
        <w:t>Introduction</w:t>
      </w:r>
    </w:p>
    <w:p w14:paraId="0A9766D9" w14:textId="77777777" w:rsidR="00370BA9" w:rsidRPr="0072611A" w:rsidRDefault="00370BA9" w:rsidP="0072611A">
      <w:pPr>
        <w:jc w:val="both"/>
        <w:rPr>
          <w:rFonts w:cstheme="minorHAnsi"/>
          <w:sz w:val="24"/>
          <w:szCs w:val="24"/>
        </w:rPr>
      </w:pPr>
      <w:r w:rsidRPr="0072611A">
        <w:rPr>
          <w:rFonts w:cstheme="minorHAnsi"/>
          <w:sz w:val="24"/>
          <w:szCs w:val="24"/>
        </w:rPr>
        <w:t xml:space="preserve">From Year 9 onwards, the local authority has a duty to ensure that the annual review meeting “consider[s] what provision is required to assist the child or young person in preparation for adulthood and independent living” (Regulation 20(6) and Regulation 21(6) of the SEN and Disability Regulations 2014). Therefore, for children/young people but </w:t>
      </w:r>
      <w:proofErr w:type="gramStart"/>
      <w:r w:rsidRPr="0072611A">
        <w:rPr>
          <w:rFonts w:cstheme="minorHAnsi"/>
          <w:sz w:val="24"/>
          <w:szCs w:val="24"/>
        </w:rPr>
        <w:t>in particular from</w:t>
      </w:r>
      <w:proofErr w:type="gramEnd"/>
      <w:r w:rsidRPr="0072611A">
        <w:rPr>
          <w:rFonts w:cstheme="minorHAnsi"/>
          <w:sz w:val="24"/>
          <w:szCs w:val="24"/>
        </w:rPr>
        <w:t xml:space="preserve"> Year 9 onwards, Education, Health Care Plan (EHCP) outcomes need be changed to focus on preparation for adulthood (i.e. employment/higher education, independent living skills, community involvement and staying healthy.</w:t>
      </w:r>
    </w:p>
    <w:p w14:paraId="6D51439C" w14:textId="77777777" w:rsidR="00370BA9" w:rsidRPr="0072611A" w:rsidRDefault="00370BA9" w:rsidP="0072611A">
      <w:pPr>
        <w:jc w:val="both"/>
        <w:rPr>
          <w:rFonts w:cstheme="minorHAnsi"/>
          <w:sz w:val="24"/>
          <w:szCs w:val="24"/>
        </w:rPr>
      </w:pPr>
      <w:r w:rsidRPr="0072611A">
        <w:rPr>
          <w:rFonts w:cstheme="minorHAnsi"/>
          <w:sz w:val="24"/>
          <w:szCs w:val="24"/>
        </w:rPr>
        <w:t>For those young people who are Home Educated, a year 9 annual review will take place, but they will need signposting to services available within the local offer/authority to enable them to have Careers Guidance etc to enable them to make informed choices about their future options.</w:t>
      </w:r>
    </w:p>
    <w:p w14:paraId="2F8EC7C4" w14:textId="77777777" w:rsidR="0072611A" w:rsidRPr="0072611A" w:rsidRDefault="0072611A" w:rsidP="0072611A">
      <w:pPr>
        <w:jc w:val="both"/>
        <w:rPr>
          <w:rFonts w:cstheme="minorHAnsi"/>
          <w:b/>
          <w:bCs/>
          <w:sz w:val="24"/>
          <w:szCs w:val="24"/>
          <w:u w:val="single"/>
        </w:rPr>
      </w:pPr>
    </w:p>
    <w:p w14:paraId="139274D6" w14:textId="34D2526D" w:rsidR="0072611A" w:rsidRPr="0072611A" w:rsidRDefault="0072611A" w:rsidP="0072611A">
      <w:pPr>
        <w:jc w:val="both"/>
        <w:rPr>
          <w:rFonts w:cstheme="minorHAnsi"/>
          <w:b/>
          <w:bCs/>
          <w:sz w:val="24"/>
          <w:szCs w:val="24"/>
        </w:rPr>
      </w:pPr>
      <w:r w:rsidRPr="0072611A">
        <w:rPr>
          <w:rFonts w:cstheme="minorHAnsi"/>
          <w:b/>
          <w:bCs/>
          <w:sz w:val="24"/>
          <w:szCs w:val="24"/>
        </w:rPr>
        <w:t>Preparing for Adulthood OUTCOMES:</w:t>
      </w:r>
    </w:p>
    <w:p w14:paraId="7498E5EB" w14:textId="77777777" w:rsidR="0072611A" w:rsidRPr="0072611A" w:rsidRDefault="0072611A" w:rsidP="0072611A">
      <w:pPr>
        <w:jc w:val="both"/>
        <w:rPr>
          <w:rFonts w:cstheme="minorHAnsi"/>
          <w:sz w:val="24"/>
          <w:szCs w:val="24"/>
        </w:rPr>
      </w:pPr>
      <w:r w:rsidRPr="0072611A">
        <w:rPr>
          <w:rFonts w:cstheme="minorHAnsi"/>
          <w:sz w:val="24"/>
          <w:szCs w:val="24"/>
        </w:rPr>
        <w:t>Our mission is to make a positive difference to Waltham Forest young people and their communities and have developed four outcomes that will be the focus of our work:</w:t>
      </w:r>
    </w:p>
    <w:p w14:paraId="28B960B5" w14:textId="77777777" w:rsidR="0072611A" w:rsidRPr="0072611A" w:rsidRDefault="0072611A" w:rsidP="0072611A">
      <w:pPr>
        <w:pStyle w:val="ListParagraph"/>
        <w:ind w:left="457"/>
        <w:jc w:val="both"/>
        <w:rPr>
          <w:rFonts w:asciiTheme="minorHAnsi" w:hAnsiTheme="minorHAnsi" w:cstheme="minorHAnsi"/>
          <w:b/>
          <w:bCs/>
        </w:rPr>
      </w:pPr>
      <w:r w:rsidRPr="0072611A">
        <w:rPr>
          <w:rFonts w:asciiTheme="minorHAnsi" w:eastAsiaTheme="minorHAnsi" w:hAnsiTheme="minorHAnsi" w:cstheme="minorHAnsi"/>
          <w:b/>
          <w:bCs/>
        </w:rPr>
        <w:t>1. Be ambitious and enable young people to reach</w:t>
      </w:r>
      <w:r w:rsidRPr="0072611A">
        <w:rPr>
          <w:rFonts w:asciiTheme="minorHAnsi" w:hAnsiTheme="minorHAnsi" w:cstheme="minorHAnsi"/>
          <w:b/>
          <w:bCs/>
        </w:rPr>
        <w:t xml:space="preserve"> meaningful occupation and/or employment</w:t>
      </w:r>
    </w:p>
    <w:p w14:paraId="6ABFCECD" w14:textId="77777777" w:rsidR="0072611A" w:rsidRPr="0072611A" w:rsidRDefault="0072611A" w:rsidP="0072611A">
      <w:pPr>
        <w:pStyle w:val="ListParagraph"/>
        <w:ind w:left="457"/>
        <w:jc w:val="both"/>
        <w:rPr>
          <w:rFonts w:asciiTheme="minorHAnsi" w:hAnsiTheme="minorHAnsi" w:cstheme="minorHAnsi"/>
          <w:b/>
          <w:bCs/>
        </w:rPr>
      </w:pPr>
      <w:r w:rsidRPr="0072611A">
        <w:rPr>
          <w:rFonts w:asciiTheme="minorHAnsi" w:hAnsiTheme="minorHAnsi" w:cstheme="minorHAnsi"/>
          <w:b/>
          <w:bCs/>
        </w:rPr>
        <w:t xml:space="preserve">2. Be resilient and independent </w:t>
      </w:r>
    </w:p>
    <w:p w14:paraId="5B6D8083" w14:textId="4596AFF9" w:rsidR="0072611A" w:rsidRPr="0072611A" w:rsidRDefault="0072611A" w:rsidP="0072611A">
      <w:pPr>
        <w:pStyle w:val="ListParagraph"/>
        <w:ind w:left="457"/>
        <w:jc w:val="both"/>
        <w:rPr>
          <w:rFonts w:asciiTheme="minorHAnsi" w:hAnsiTheme="minorHAnsi" w:cstheme="minorHAnsi"/>
          <w:b/>
          <w:bCs/>
        </w:rPr>
      </w:pPr>
      <w:r w:rsidRPr="0072611A">
        <w:rPr>
          <w:rFonts w:asciiTheme="minorHAnsi" w:hAnsiTheme="minorHAnsi" w:cstheme="minorHAnsi"/>
          <w:b/>
          <w:bCs/>
        </w:rPr>
        <w:t xml:space="preserve">3. </w:t>
      </w:r>
      <w:r w:rsidR="00F03FD4">
        <w:rPr>
          <w:rFonts w:asciiTheme="minorHAnsi" w:hAnsiTheme="minorHAnsi" w:cstheme="minorHAnsi"/>
          <w:b/>
          <w:bCs/>
        </w:rPr>
        <w:t>To be as healthy as possible in adult life</w:t>
      </w:r>
    </w:p>
    <w:p w14:paraId="475E5F3E" w14:textId="50DE1039" w:rsidR="0072611A" w:rsidRDefault="0072611A" w:rsidP="0072611A">
      <w:pPr>
        <w:ind w:firstLine="457"/>
        <w:jc w:val="both"/>
        <w:rPr>
          <w:rFonts w:cstheme="minorHAnsi"/>
          <w:b/>
          <w:bCs/>
          <w:sz w:val="24"/>
          <w:szCs w:val="24"/>
        </w:rPr>
      </w:pPr>
      <w:r w:rsidRPr="0072611A">
        <w:rPr>
          <w:rFonts w:cstheme="minorHAnsi"/>
          <w:b/>
          <w:bCs/>
          <w:sz w:val="24"/>
          <w:szCs w:val="24"/>
        </w:rPr>
        <w:t xml:space="preserve">4. Feel connected within </w:t>
      </w:r>
      <w:r w:rsidR="00F03FD4">
        <w:rPr>
          <w:rFonts w:cstheme="minorHAnsi"/>
          <w:b/>
          <w:bCs/>
          <w:sz w:val="24"/>
          <w:szCs w:val="24"/>
        </w:rPr>
        <w:t xml:space="preserve">their </w:t>
      </w:r>
      <w:r w:rsidRPr="0072611A">
        <w:rPr>
          <w:rFonts w:cstheme="minorHAnsi"/>
          <w:b/>
          <w:bCs/>
          <w:sz w:val="24"/>
          <w:szCs w:val="24"/>
        </w:rPr>
        <w:t xml:space="preserve">community </w:t>
      </w:r>
    </w:p>
    <w:p w14:paraId="49A38C04" w14:textId="77777777" w:rsidR="00DA1150" w:rsidRDefault="00DA1150" w:rsidP="00DA1150">
      <w:pPr>
        <w:jc w:val="both"/>
        <w:rPr>
          <w:rFonts w:cstheme="minorHAnsi"/>
          <w:b/>
          <w:bCs/>
          <w:sz w:val="24"/>
          <w:szCs w:val="24"/>
        </w:rPr>
      </w:pPr>
    </w:p>
    <w:p w14:paraId="28D599EA" w14:textId="1C6AD614" w:rsidR="0072611A" w:rsidRPr="00DA1150" w:rsidRDefault="00DA1150" w:rsidP="00DA1150">
      <w:pPr>
        <w:jc w:val="both"/>
        <w:rPr>
          <w:rFonts w:cstheme="minorHAnsi"/>
          <w:b/>
          <w:bCs/>
          <w:sz w:val="28"/>
          <w:szCs w:val="28"/>
        </w:rPr>
      </w:pPr>
      <w:r w:rsidRPr="00DA1150">
        <w:rPr>
          <w:rFonts w:cstheme="minorHAnsi"/>
          <w:b/>
          <w:bCs/>
          <w:sz w:val="28"/>
          <w:szCs w:val="28"/>
        </w:rPr>
        <w:t>Consider relevant priorities within each outcome:</w:t>
      </w:r>
    </w:p>
    <w:tbl>
      <w:tblPr>
        <w:tblStyle w:val="TableGrid1"/>
        <w:tblW w:w="5000" w:type="pct"/>
        <w:tblInd w:w="0" w:type="dxa"/>
        <w:tblLook w:val="04A0" w:firstRow="1" w:lastRow="0" w:firstColumn="1" w:lastColumn="0" w:noHBand="0" w:noVBand="1"/>
      </w:tblPr>
      <w:tblGrid>
        <w:gridCol w:w="4508"/>
        <w:gridCol w:w="4508"/>
      </w:tblGrid>
      <w:tr w:rsidR="0072611A" w14:paraId="66187D5E" w14:textId="77777777" w:rsidTr="0072611A">
        <w:tc>
          <w:tcPr>
            <w:tcW w:w="2500" w:type="pct"/>
            <w:tcBorders>
              <w:top w:val="single" w:sz="4" w:space="0" w:color="auto"/>
              <w:left w:val="single" w:sz="4" w:space="0" w:color="auto"/>
              <w:bottom w:val="single" w:sz="4" w:space="0" w:color="auto"/>
              <w:right w:val="single" w:sz="4" w:space="0" w:color="auto"/>
            </w:tcBorders>
            <w:hideMark/>
          </w:tcPr>
          <w:p w14:paraId="201C287A" w14:textId="77777777" w:rsidR="0072611A" w:rsidRDefault="0072611A">
            <w:pPr>
              <w:rPr>
                <w:rFonts w:cstheme="minorHAnsi"/>
                <w:b/>
                <w:bCs/>
                <w:sz w:val="24"/>
                <w:szCs w:val="24"/>
              </w:rPr>
            </w:pPr>
            <w:r>
              <w:rPr>
                <w:rFonts w:cstheme="minorHAnsi"/>
                <w:b/>
                <w:bCs/>
                <w:sz w:val="24"/>
                <w:szCs w:val="24"/>
              </w:rPr>
              <w:t>OUTCOMES</w:t>
            </w:r>
          </w:p>
        </w:tc>
        <w:tc>
          <w:tcPr>
            <w:tcW w:w="2500" w:type="pct"/>
            <w:tcBorders>
              <w:top w:val="single" w:sz="4" w:space="0" w:color="auto"/>
              <w:left w:val="single" w:sz="4" w:space="0" w:color="auto"/>
              <w:bottom w:val="single" w:sz="4" w:space="0" w:color="auto"/>
              <w:right w:val="single" w:sz="4" w:space="0" w:color="auto"/>
            </w:tcBorders>
            <w:hideMark/>
          </w:tcPr>
          <w:p w14:paraId="7349824B" w14:textId="77777777" w:rsidR="0072611A" w:rsidRDefault="0072611A">
            <w:pPr>
              <w:rPr>
                <w:rFonts w:cstheme="minorHAnsi"/>
                <w:b/>
                <w:bCs/>
                <w:sz w:val="24"/>
                <w:szCs w:val="24"/>
              </w:rPr>
            </w:pPr>
            <w:r>
              <w:rPr>
                <w:rFonts w:cstheme="minorHAnsi"/>
                <w:b/>
                <w:bCs/>
                <w:sz w:val="24"/>
                <w:szCs w:val="24"/>
              </w:rPr>
              <w:t xml:space="preserve">PRIORITIES </w:t>
            </w:r>
          </w:p>
        </w:tc>
      </w:tr>
      <w:tr w:rsidR="0072611A" w14:paraId="0E9AA448" w14:textId="77777777" w:rsidTr="0072611A">
        <w:tc>
          <w:tcPr>
            <w:tcW w:w="2500" w:type="pct"/>
            <w:tcBorders>
              <w:top w:val="single" w:sz="4" w:space="0" w:color="auto"/>
              <w:left w:val="single" w:sz="4" w:space="0" w:color="auto"/>
              <w:bottom w:val="single" w:sz="4" w:space="0" w:color="auto"/>
              <w:right w:val="single" w:sz="4" w:space="0" w:color="auto"/>
            </w:tcBorders>
          </w:tcPr>
          <w:p w14:paraId="548E5E62" w14:textId="77777777" w:rsidR="0072611A" w:rsidRDefault="0072611A" w:rsidP="0072611A">
            <w:pPr>
              <w:pStyle w:val="ListParagraph"/>
              <w:numPr>
                <w:ilvl w:val="0"/>
                <w:numId w:val="2"/>
              </w:numPr>
              <w:rPr>
                <w:rFonts w:asciiTheme="minorHAnsi" w:eastAsiaTheme="minorHAnsi" w:hAnsiTheme="minorHAnsi" w:cstheme="minorHAnsi"/>
              </w:rPr>
            </w:pPr>
            <w:r>
              <w:rPr>
                <w:rFonts w:asciiTheme="minorHAnsi" w:eastAsiaTheme="minorHAnsi" w:hAnsiTheme="minorHAnsi" w:cstheme="minorHAnsi"/>
                <w:b/>
                <w:bCs/>
              </w:rPr>
              <w:t xml:space="preserve">Be Ambitious and enable young people to reach meaningful occupation and/or employment  </w:t>
            </w:r>
          </w:p>
          <w:p w14:paraId="74C7AA45" w14:textId="77777777" w:rsidR="0072611A" w:rsidRDefault="0072611A">
            <w:pPr>
              <w:rPr>
                <w:rFonts w:cstheme="minorHAnsi"/>
                <w:b/>
                <w:bCs/>
                <w:sz w:val="24"/>
                <w:szCs w:val="24"/>
              </w:rPr>
            </w:pPr>
          </w:p>
          <w:p w14:paraId="2ADBFCA6" w14:textId="77777777" w:rsidR="0072611A" w:rsidRDefault="0072611A">
            <w:pPr>
              <w:ind w:left="720" w:firstLine="720"/>
              <w:rPr>
                <w:rFonts w:eastAsia="Times New Roman" w:cstheme="minorHAnsi"/>
                <w:b/>
                <w:bCs/>
                <w:i/>
                <w:iCs/>
                <w:color w:val="E32D91" w:themeColor="accent1"/>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54782F37" w14:textId="27FD3FE7" w:rsidR="0072611A" w:rsidRDefault="0072611A">
            <w:pPr>
              <w:ind w:left="360"/>
              <w:rPr>
                <w:rFonts w:cstheme="minorHAnsi"/>
                <w:sz w:val="24"/>
                <w:szCs w:val="24"/>
                <w:lang w:eastAsia="en-US"/>
              </w:rPr>
            </w:pPr>
            <w:r>
              <w:rPr>
                <w:rFonts w:cstheme="minorHAnsi"/>
                <w:sz w:val="24"/>
                <w:szCs w:val="24"/>
              </w:rPr>
              <w:t>1 inspiring outcome focussed learning pathways</w:t>
            </w:r>
            <w:r w:rsidR="00DA1150">
              <w:rPr>
                <w:rFonts w:cstheme="minorHAnsi"/>
                <w:sz w:val="24"/>
                <w:szCs w:val="24"/>
              </w:rPr>
              <w:t>, vocational profile, portfolio of life skills</w:t>
            </w:r>
          </w:p>
          <w:p w14:paraId="21B832B0" w14:textId="5EA70F31" w:rsidR="0072611A" w:rsidRDefault="0072611A">
            <w:pPr>
              <w:ind w:left="360"/>
              <w:rPr>
                <w:rFonts w:cstheme="minorHAnsi"/>
                <w:sz w:val="24"/>
                <w:szCs w:val="24"/>
              </w:rPr>
            </w:pPr>
            <w:r>
              <w:rPr>
                <w:rFonts w:cstheme="minorHAnsi"/>
                <w:sz w:val="24"/>
                <w:szCs w:val="24"/>
              </w:rPr>
              <w:t>2 traineeship, internship and apprenticeship offer</w:t>
            </w:r>
            <w:r w:rsidR="00DA1150">
              <w:rPr>
                <w:rFonts w:cstheme="minorHAnsi"/>
                <w:sz w:val="24"/>
                <w:szCs w:val="24"/>
              </w:rPr>
              <w:t>, work experience</w:t>
            </w:r>
          </w:p>
          <w:p w14:paraId="327D5E62" w14:textId="790963CD" w:rsidR="0072611A" w:rsidRDefault="0072611A">
            <w:pPr>
              <w:ind w:left="360"/>
              <w:rPr>
                <w:rFonts w:cstheme="minorHAnsi"/>
                <w:sz w:val="24"/>
                <w:szCs w:val="24"/>
              </w:rPr>
            </w:pPr>
            <w:r>
              <w:rPr>
                <w:rFonts w:cstheme="minorHAnsi"/>
                <w:sz w:val="24"/>
                <w:szCs w:val="24"/>
              </w:rPr>
              <w:t xml:space="preserve">3 Listen and act upon young people’s and parent carers’ </w:t>
            </w:r>
            <w:r w:rsidR="00DA1150">
              <w:rPr>
                <w:rFonts w:cstheme="minorHAnsi"/>
                <w:sz w:val="24"/>
                <w:szCs w:val="24"/>
              </w:rPr>
              <w:t>views and</w:t>
            </w:r>
            <w:r>
              <w:rPr>
                <w:rFonts w:cstheme="minorHAnsi"/>
                <w:sz w:val="24"/>
                <w:szCs w:val="24"/>
              </w:rPr>
              <w:t xml:space="preserve"> enable them to make choices in their lives</w:t>
            </w:r>
          </w:p>
        </w:tc>
      </w:tr>
      <w:tr w:rsidR="0072611A" w14:paraId="47B34B81" w14:textId="77777777" w:rsidTr="0072611A">
        <w:tc>
          <w:tcPr>
            <w:tcW w:w="2500" w:type="pct"/>
            <w:tcBorders>
              <w:top w:val="single" w:sz="4" w:space="0" w:color="auto"/>
              <w:left w:val="single" w:sz="4" w:space="0" w:color="auto"/>
              <w:bottom w:val="single" w:sz="4" w:space="0" w:color="auto"/>
              <w:right w:val="single" w:sz="4" w:space="0" w:color="auto"/>
            </w:tcBorders>
            <w:hideMark/>
          </w:tcPr>
          <w:p w14:paraId="5D9D06FE" w14:textId="77777777" w:rsidR="0072611A" w:rsidRDefault="0072611A" w:rsidP="0072611A">
            <w:pPr>
              <w:pStyle w:val="ListParagraph"/>
              <w:numPr>
                <w:ilvl w:val="0"/>
                <w:numId w:val="2"/>
              </w:numPr>
              <w:rPr>
                <w:rFonts w:asciiTheme="minorHAnsi" w:eastAsiaTheme="minorHAnsi" w:hAnsiTheme="minorHAnsi" w:cstheme="minorHAnsi"/>
              </w:rPr>
            </w:pPr>
            <w:r>
              <w:rPr>
                <w:rFonts w:asciiTheme="minorHAnsi" w:eastAsiaTheme="minorHAnsi" w:hAnsiTheme="minorHAnsi" w:cstheme="minorHAnsi"/>
                <w:b/>
                <w:bCs/>
              </w:rPr>
              <w:t xml:space="preserve">Be Resilient and Independent  </w:t>
            </w:r>
          </w:p>
          <w:p w14:paraId="6C2217E3" w14:textId="77777777" w:rsidR="0072611A" w:rsidRDefault="0072611A">
            <w:pPr>
              <w:rPr>
                <w:rFonts w:eastAsia="Times New Roman" w:cstheme="minorHAnsi"/>
                <w:b/>
                <w:bCs/>
                <w:i/>
                <w:iCs/>
                <w:color w:val="E32D91" w:themeColor="accent1"/>
                <w:sz w:val="24"/>
                <w:szCs w:val="24"/>
              </w:rPr>
            </w:pPr>
            <w:r>
              <w:rPr>
                <w:rFonts w:cstheme="minorHAnsi"/>
                <w:b/>
                <w:bCs/>
                <w:sz w:val="24"/>
                <w:szCs w:val="24"/>
              </w:rPr>
              <w:tab/>
            </w:r>
          </w:p>
        </w:tc>
        <w:tc>
          <w:tcPr>
            <w:tcW w:w="2500" w:type="pct"/>
            <w:tcBorders>
              <w:top w:val="single" w:sz="4" w:space="0" w:color="auto"/>
              <w:left w:val="single" w:sz="4" w:space="0" w:color="auto"/>
              <w:bottom w:val="single" w:sz="4" w:space="0" w:color="auto"/>
              <w:right w:val="single" w:sz="4" w:space="0" w:color="auto"/>
            </w:tcBorders>
            <w:hideMark/>
          </w:tcPr>
          <w:p w14:paraId="72FB4298" w14:textId="6A98C0C9" w:rsidR="0072611A" w:rsidRDefault="0072611A">
            <w:pPr>
              <w:ind w:left="360"/>
              <w:rPr>
                <w:rFonts w:cstheme="minorHAnsi"/>
                <w:sz w:val="24"/>
                <w:szCs w:val="24"/>
                <w:lang w:eastAsia="en-US"/>
              </w:rPr>
            </w:pPr>
            <w:r>
              <w:rPr>
                <w:rFonts w:cstheme="minorHAnsi"/>
                <w:sz w:val="24"/>
                <w:szCs w:val="24"/>
              </w:rPr>
              <w:t>1 support during transition points</w:t>
            </w:r>
            <w:r w:rsidR="00DA1150">
              <w:rPr>
                <w:rFonts w:cstheme="minorHAnsi"/>
                <w:sz w:val="24"/>
                <w:szCs w:val="24"/>
              </w:rPr>
              <w:t xml:space="preserve">, </w:t>
            </w:r>
            <w:r>
              <w:rPr>
                <w:rFonts w:cstheme="minorHAnsi"/>
                <w:sz w:val="24"/>
                <w:szCs w:val="24"/>
              </w:rPr>
              <w:t>developing independence skills from the earliest opportunity.</w:t>
            </w:r>
          </w:p>
          <w:p w14:paraId="2C36A70C" w14:textId="537FC06F" w:rsidR="0072611A" w:rsidRDefault="0072611A">
            <w:pPr>
              <w:ind w:left="360"/>
              <w:rPr>
                <w:rFonts w:cstheme="minorHAnsi"/>
                <w:sz w:val="24"/>
                <w:szCs w:val="24"/>
              </w:rPr>
            </w:pPr>
            <w:r>
              <w:rPr>
                <w:rFonts w:cstheme="minorHAnsi"/>
                <w:sz w:val="24"/>
                <w:szCs w:val="24"/>
              </w:rPr>
              <w:t xml:space="preserve">2 </w:t>
            </w:r>
            <w:r w:rsidR="00DA1150">
              <w:rPr>
                <w:rFonts w:cstheme="minorHAnsi"/>
                <w:sz w:val="24"/>
                <w:szCs w:val="24"/>
              </w:rPr>
              <w:t>refer to</w:t>
            </w:r>
            <w:r>
              <w:rPr>
                <w:rFonts w:cstheme="minorHAnsi"/>
                <w:sz w:val="24"/>
                <w:szCs w:val="24"/>
              </w:rPr>
              <w:t xml:space="preserve"> local offer</w:t>
            </w:r>
            <w:r w:rsidR="00DA1150">
              <w:rPr>
                <w:rFonts w:cstheme="minorHAnsi"/>
                <w:sz w:val="24"/>
                <w:szCs w:val="24"/>
              </w:rPr>
              <w:t xml:space="preserve"> for</w:t>
            </w:r>
            <w:r>
              <w:rPr>
                <w:rFonts w:cstheme="minorHAnsi"/>
                <w:sz w:val="24"/>
                <w:szCs w:val="24"/>
              </w:rPr>
              <w:t xml:space="preserve"> information across health education and social care</w:t>
            </w:r>
          </w:p>
        </w:tc>
      </w:tr>
      <w:tr w:rsidR="0072611A" w14:paraId="0D8D3D70" w14:textId="77777777" w:rsidTr="0072611A">
        <w:tc>
          <w:tcPr>
            <w:tcW w:w="2500" w:type="pct"/>
            <w:tcBorders>
              <w:top w:val="single" w:sz="4" w:space="0" w:color="auto"/>
              <w:left w:val="single" w:sz="4" w:space="0" w:color="auto"/>
              <w:bottom w:val="single" w:sz="4" w:space="0" w:color="auto"/>
              <w:right w:val="single" w:sz="4" w:space="0" w:color="auto"/>
            </w:tcBorders>
          </w:tcPr>
          <w:p w14:paraId="5BB7853A" w14:textId="316B7427" w:rsidR="0072611A" w:rsidRPr="0072611A" w:rsidRDefault="0072611A" w:rsidP="0072611A">
            <w:pPr>
              <w:pStyle w:val="ListParagraph"/>
              <w:numPr>
                <w:ilvl w:val="0"/>
                <w:numId w:val="2"/>
              </w:numPr>
              <w:rPr>
                <w:rFonts w:asciiTheme="minorHAnsi" w:hAnsiTheme="minorHAnsi" w:cstheme="minorHAnsi"/>
                <w:b/>
                <w:bCs/>
                <w:i/>
                <w:iCs/>
                <w:color w:val="E32D91" w:themeColor="accent1"/>
              </w:rPr>
            </w:pPr>
            <w:r w:rsidRPr="0072611A">
              <w:rPr>
                <w:rFonts w:asciiTheme="minorHAnsi" w:hAnsiTheme="minorHAnsi" w:cstheme="minorHAnsi"/>
                <w:b/>
                <w:bCs/>
              </w:rPr>
              <w:t>To be as healthy as possible in adult life</w:t>
            </w:r>
          </w:p>
        </w:tc>
        <w:tc>
          <w:tcPr>
            <w:tcW w:w="2500" w:type="pct"/>
            <w:tcBorders>
              <w:top w:val="single" w:sz="4" w:space="0" w:color="auto"/>
              <w:left w:val="single" w:sz="4" w:space="0" w:color="auto"/>
              <w:bottom w:val="single" w:sz="4" w:space="0" w:color="auto"/>
              <w:right w:val="single" w:sz="4" w:space="0" w:color="auto"/>
            </w:tcBorders>
            <w:hideMark/>
          </w:tcPr>
          <w:p w14:paraId="2A7EDA30" w14:textId="77777777" w:rsidR="0072611A" w:rsidRDefault="0072611A">
            <w:pPr>
              <w:ind w:left="360"/>
              <w:rPr>
                <w:rFonts w:cstheme="minorHAnsi"/>
                <w:sz w:val="24"/>
                <w:szCs w:val="24"/>
                <w:lang w:eastAsia="en-US"/>
              </w:rPr>
            </w:pPr>
            <w:r>
              <w:rPr>
                <w:rFonts w:cstheme="minorHAnsi"/>
                <w:sz w:val="24"/>
                <w:szCs w:val="24"/>
              </w:rPr>
              <w:t>1 Improve overall health outcomes – increase the uptake of the 14+ LD annual health check</w:t>
            </w:r>
          </w:p>
          <w:p w14:paraId="5F852E4A" w14:textId="77777777" w:rsidR="0072611A" w:rsidRDefault="0072611A">
            <w:pPr>
              <w:ind w:left="360"/>
              <w:rPr>
                <w:rFonts w:cstheme="minorHAnsi"/>
                <w:sz w:val="24"/>
                <w:szCs w:val="24"/>
              </w:rPr>
            </w:pPr>
            <w:r>
              <w:rPr>
                <w:rFonts w:cstheme="minorHAnsi"/>
                <w:sz w:val="24"/>
                <w:szCs w:val="24"/>
              </w:rPr>
              <w:t>2 Improve young people’s understanding of their health needs</w:t>
            </w:r>
          </w:p>
          <w:p w14:paraId="134DB855" w14:textId="71549D94" w:rsidR="0072611A" w:rsidRDefault="0072611A">
            <w:pPr>
              <w:ind w:left="360"/>
              <w:rPr>
                <w:rFonts w:cstheme="minorHAnsi"/>
                <w:sz w:val="24"/>
                <w:szCs w:val="24"/>
              </w:rPr>
            </w:pPr>
            <w:r>
              <w:rPr>
                <w:rFonts w:cstheme="minorHAnsi"/>
                <w:sz w:val="24"/>
                <w:szCs w:val="24"/>
              </w:rPr>
              <w:t>3 Ensure young people have safe access to health care and wellbeing services (</w:t>
            </w:r>
            <w:proofErr w:type="spellStart"/>
            <w:r>
              <w:rPr>
                <w:rFonts w:cstheme="minorHAnsi"/>
                <w:sz w:val="24"/>
                <w:szCs w:val="24"/>
              </w:rPr>
              <w:t>ie</w:t>
            </w:r>
            <w:proofErr w:type="spellEnd"/>
            <w:r>
              <w:rPr>
                <w:rFonts w:cstheme="minorHAnsi"/>
                <w:sz w:val="24"/>
                <w:szCs w:val="24"/>
              </w:rPr>
              <w:t>. preventative services such as smoking, sexual health, support with healthy weight, as well as primary care)</w:t>
            </w:r>
          </w:p>
          <w:p w14:paraId="27A55A7D" w14:textId="77777777" w:rsidR="0072611A" w:rsidRDefault="0072611A">
            <w:pPr>
              <w:ind w:left="360"/>
              <w:rPr>
                <w:rFonts w:cstheme="minorHAnsi"/>
                <w:sz w:val="24"/>
                <w:szCs w:val="24"/>
              </w:rPr>
            </w:pPr>
            <w:r>
              <w:rPr>
                <w:rFonts w:cstheme="minorHAnsi"/>
                <w:sz w:val="24"/>
                <w:szCs w:val="24"/>
              </w:rPr>
              <w:t>4 Young people are supported and prepared for transition to Adult Health services and access the services available</w:t>
            </w:r>
          </w:p>
        </w:tc>
      </w:tr>
      <w:tr w:rsidR="0072611A" w14:paraId="17326FC4" w14:textId="77777777" w:rsidTr="0072611A">
        <w:tc>
          <w:tcPr>
            <w:tcW w:w="2500" w:type="pct"/>
            <w:tcBorders>
              <w:top w:val="single" w:sz="4" w:space="0" w:color="auto"/>
              <w:left w:val="single" w:sz="4" w:space="0" w:color="auto"/>
              <w:bottom w:val="single" w:sz="4" w:space="0" w:color="auto"/>
              <w:right w:val="single" w:sz="4" w:space="0" w:color="auto"/>
            </w:tcBorders>
          </w:tcPr>
          <w:p w14:paraId="7E7AA4DC" w14:textId="72682B12" w:rsidR="0072611A" w:rsidRDefault="0072611A" w:rsidP="0072611A">
            <w:pPr>
              <w:pStyle w:val="ListParagraph"/>
              <w:numPr>
                <w:ilvl w:val="0"/>
                <w:numId w:val="2"/>
              </w:numPr>
              <w:rPr>
                <w:rFonts w:asciiTheme="minorHAnsi" w:eastAsiaTheme="minorHAnsi" w:hAnsiTheme="minorHAnsi" w:cstheme="minorHAnsi"/>
                <w:b/>
                <w:bCs/>
              </w:rPr>
            </w:pPr>
            <w:r>
              <w:rPr>
                <w:rFonts w:asciiTheme="minorHAnsi" w:eastAsiaTheme="minorHAnsi" w:hAnsiTheme="minorHAnsi" w:cstheme="minorHAnsi"/>
                <w:b/>
                <w:bCs/>
              </w:rPr>
              <w:t>Feel connected within the</w:t>
            </w:r>
            <w:r w:rsidR="00F03FD4">
              <w:rPr>
                <w:rFonts w:asciiTheme="minorHAnsi" w:eastAsiaTheme="minorHAnsi" w:hAnsiTheme="minorHAnsi" w:cstheme="minorHAnsi"/>
                <w:b/>
                <w:bCs/>
              </w:rPr>
              <w:t>ir</w:t>
            </w:r>
            <w:r>
              <w:rPr>
                <w:rFonts w:asciiTheme="minorHAnsi" w:eastAsiaTheme="minorHAnsi" w:hAnsiTheme="minorHAnsi" w:cstheme="minorHAnsi"/>
                <w:b/>
                <w:bCs/>
              </w:rPr>
              <w:t xml:space="preserve"> community </w:t>
            </w:r>
          </w:p>
          <w:p w14:paraId="42138E72" w14:textId="77777777" w:rsidR="0072611A" w:rsidRDefault="0072611A">
            <w:pPr>
              <w:rPr>
                <w:rFonts w:eastAsia="Times New Roman" w:cstheme="minorHAnsi"/>
                <w:b/>
                <w:bCs/>
                <w:i/>
                <w:iCs/>
                <w:color w:val="E32D91" w:themeColor="accent1"/>
                <w:sz w:val="24"/>
                <w:szCs w:val="24"/>
              </w:rPr>
            </w:pPr>
          </w:p>
        </w:tc>
        <w:tc>
          <w:tcPr>
            <w:tcW w:w="2500" w:type="pct"/>
            <w:tcBorders>
              <w:top w:val="single" w:sz="4" w:space="0" w:color="auto"/>
              <w:left w:val="single" w:sz="4" w:space="0" w:color="auto"/>
              <w:bottom w:val="single" w:sz="4" w:space="0" w:color="auto"/>
              <w:right w:val="single" w:sz="4" w:space="0" w:color="auto"/>
            </w:tcBorders>
            <w:hideMark/>
          </w:tcPr>
          <w:p w14:paraId="034C9571" w14:textId="77777777" w:rsidR="0072611A" w:rsidRDefault="0072611A">
            <w:pPr>
              <w:ind w:left="360"/>
              <w:rPr>
                <w:rFonts w:cstheme="minorHAnsi"/>
                <w:sz w:val="24"/>
                <w:szCs w:val="24"/>
                <w:lang w:eastAsia="en-US"/>
              </w:rPr>
            </w:pPr>
            <w:r>
              <w:rPr>
                <w:rFonts w:cstheme="minorHAnsi"/>
                <w:sz w:val="24"/>
                <w:szCs w:val="24"/>
              </w:rPr>
              <w:t>1 young people are supported to have friends and safe, healthy relationships</w:t>
            </w:r>
          </w:p>
          <w:p w14:paraId="2C0DC45A" w14:textId="77777777" w:rsidR="0072611A" w:rsidRDefault="0072611A">
            <w:pPr>
              <w:ind w:left="360"/>
              <w:rPr>
                <w:rFonts w:cstheme="minorHAnsi"/>
                <w:sz w:val="24"/>
                <w:szCs w:val="24"/>
              </w:rPr>
            </w:pPr>
            <w:r>
              <w:rPr>
                <w:rFonts w:cstheme="minorHAnsi"/>
                <w:sz w:val="24"/>
                <w:szCs w:val="24"/>
              </w:rPr>
              <w:t>2 Young people are supported to remain within their families and local community</w:t>
            </w:r>
          </w:p>
          <w:p w14:paraId="2732824C" w14:textId="0085A598" w:rsidR="0072611A" w:rsidRDefault="0072611A">
            <w:pPr>
              <w:ind w:left="360"/>
              <w:rPr>
                <w:rFonts w:cstheme="minorHAnsi"/>
                <w:sz w:val="24"/>
                <w:szCs w:val="24"/>
              </w:rPr>
            </w:pPr>
            <w:r>
              <w:rPr>
                <w:rFonts w:cstheme="minorHAnsi"/>
                <w:sz w:val="24"/>
                <w:szCs w:val="24"/>
              </w:rPr>
              <w:t xml:space="preserve">3 </w:t>
            </w:r>
            <w:r w:rsidR="00DA1150">
              <w:rPr>
                <w:rFonts w:cstheme="minorHAnsi"/>
                <w:sz w:val="24"/>
                <w:szCs w:val="24"/>
              </w:rPr>
              <w:t>refer and utilise</w:t>
            </w:r>
            <w:r>
              <w:rPr>
                <w:rFonts w:cstheme="minorHAnsi"/>
                <w:sz w:val="24"/>
                <w:szCs w:val="24"/>
              </w:rPr>
              <w:t xml:space="preserve"> places to meet friends- youth groups, short breaks for specific groups </w:t>
            </w:r>
            <w:proofErr w:type="spellStart"/>
            <w:r>
              <w:rPr>
                <w:rFonts w:cstheme="minorHAnsi"/>
                <w:sz w:val="24"/>
                <w:szCs w:val="24"/>
              </w:rPr>
              <w:t>e.g</w:t>
            </w:r>
            <w:proofErr w:type="spellEnd"/>
            <w:r>
              <w:rPr>
                <w:rFonts w:cstheme="minorHAnsi"/>
                <w:sz w:val="24"/>
                <w:szCs w:val="24"/>
              </w:rPr>
              <w:t xml:space="preserve"> high functioning autistic youth groups</w:t>
            </w:r>
          </w:p>
          <w:p w14:paraId="57BD60AB" w14:textId="77777777" w:rsidR="0072611A" w:rsidRDefault="0072611A">
            <w:pPr>
              <w:ind w:left="360"/>
              <w:rPr>
                <w:rFonts w:cstheme="minorHAnsi"/>
                <w:sz w:val="24"/>
                <w:szCs w:val="24"/>
              </w:rPr>
            </w:pPr>
            <w:r>
              <w:rPr>
                <w:rFonts w:cstheme="minorHAnsi"/>
                <w:sz w:val="24"/>
                <w:szCs w:val="24"/>
              </w:rPr>
              <w:t>4 Utilise PAs to support young people to do the things they want to do</w:t>
            </w:r>
          </w:p>
        </w:tc>
      </w:tr>
    </w:tbl>
    <w:p w14:paraId="04F67E69" w14:textId="77777777" w:rsidR="0072611A" w:rsidRDefault="0072611A" w:rsidP="0072611A">
      <w:pPr>
        <w:rPr>
          <w:rFonts w:cstheme="minorHAnsi"/>
          <w:b/>
          <w:sz w:val="24"/>
          <w:szCs w:val="24"/>
        </w:rPr>
      </w:pPr>
    </w:p>
    <w:p w14:paraId="0AE98324" w14:textId="304F8353" w:rsidR="00370BA9" w:rsidRDefault="00370BA9" w:rsidP="0072611A">
      <w:pPr>
        <w:jc w:val="both"/>
        <w:rPr>
          <w:rFonts w:cstheme="minorHAnsi"/>
          <w:b/>
          <w:bCs/>
          <w:sz w:val="24"/>
          <w:szCs w:val="24"/>
          <w:u w:val="single"/>
        </w:rPr>
      </w:pPr>
    </w:p>
    <w:sectPr w:rsidR="00370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4E45"/>
    <w:multiLevelType w:val="hybridMultilevel"/>
    <w:tmpl w:val="B4F21E24"/>
    <w:lvl w:ilvl="0" w:tplc="8FAE8494">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8FA0312"/>
    <w:multiLevelType w:val="hybridMultilevel"/>
    <w:tmpl w:val="4246C2C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A9"/>
    <w:rsid w:val="000A50EE"/>
    <w:rsid w:val="000F5CD2"/>
    <w:rsid w:val="00370BA9"/>
    <w:rsid w:val="003A1751"/>
    <w:rsid w:val="00465DC3"/>
    <w:rsid w:val="00541A97"/>
    <w:rsid w:val="0072611A"/>
    <w:rsid w:val="007B3835"/>
    <w:rsid w:val="007F7825"/>
    <w:rsid w:val="008E3611"/>
    <w:rsid w:val="00A2109B"/>
    <w:rsid w:val="00AF5731"/>
    <w:rsid w:val="00BD3E9C"/>
    <w:rsid w:val="00C23253"/>
    <w:rsid w:val="00D17BB3"/>
    <w:rsid w:val="00DA1150"/>
    <w:rsid w:val="00DB21F8"/>
    <w:rsid w:val="00E074EE"/>
    <w:rsid w:val="00F03FD4"/>
    <w:rsid w:val="00F8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8B26"/>
  <w15:chartTrackingRefBased/>
  <w15:docId w15:val="{112A402F-3B44-47A1-BB0E-13F78FF8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370BA9"/>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37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11A"/>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1">
    <w:name w:val="Table Grid1"/>
    <w:basedOn w:val="TableNormal"/>
    <w:uiPriority w:val="39"/>
    <w:rsid w:val="0072611A"/>
    <w:pPr>
      <w:spacing w:after="0" w:line="240" w:lineRule="auto"/>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AB63-5C41-4E24-9D31-5D5F2AFD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Heath</dc:creator>
  <cp:keywords/>
  <dc:description/>
  <cp:lastModifiedBy>Eva Gunkova</cp:lastModifiedBy>
  <cp:revision>2</cp:revision>
  <dcterms:created xsi:type="dcterms:W3CDTF">2021-07-12T14:42:00Z</dcterms:created>
  <dcterms:modified xsi:type="dcterms:W3CDTF">2021-07-12T14:42:00Z</dcterms:modified>
</cp:coreProperties>
</file>